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62A015">
      <w:pPr>
        <w:spacing w:line="360" w:lineRule="auto"/>
        <w:rPr>
          <w:rFonts w:ascii="仿宋_GB2312" w:eastAsia="仿宋_GB2312"/>
          <w:sz w:val="44"/>
          <w:szCs w:val="44"/>
        </w:rPr>
      </w:pPr>
    </w:p>
    <w:p w14:paraId="62268848">
      <w:pPr>
        <w:spacing w:line="360" w:lineRule="auto"/>
        <w:rPr>
          <w:rFonts w:ascii="仿宋_GB2312" w:eastAsia="仿宋_GB2312"/>
          <w:sz w:val="44"/>
          <w:szCs w:val="44"/>
        </w:rPr>
      </w:pPr>
    </w:p>
    <w:p w14:paraId="722D8729">
      <w:pPr>
        <w:spacing w:line="360" w:lineRule="auto"/>
        <w:rPr>
          <w:rFonts w:ascii="仿宋_GB2312" w:eastAsia="仿宋_GB2312"/>
          <w:sz w:val="44"/>
          <w:szCs w:val="44"/>
        </w:rPr>
      </w:pPr>
    </w:p>
    <w:p w14:paraId="0D030DEA">
      <w:pPr>
        <w:spacing w:line="360" w:lineRule="auto"/>
        <w:rPr>
          <w:rFonts w:ascii="仿宋_GB2312" w:eastAsia="仿宋_GB2312"/>
          <w:sz w:val="44"/>
          <w:szCs w:val="44"/>
        </w:rPr>
      </w:pPr>
    </w:p>
    <w:p w14:paraId="6BA092D9">
      <w:pPr>
        <w:numPr>
          <w:ins w:id="0" w:author="Unknown" w:date=""/>
        </w:numPr>
        <w:jc w:val="center"/>
        <w:rPr>
          <w:rFonts w:ascii="宋体" w:hAnsi="宋体"/>
          <w:sz w:val="44"/>
          <w:szCs w:val="44"/>
        </w:rPr>
      </w:pPr>
      <w:r>
        <w:rPr>
          <w:rFonts w:hint="eastAsia" w:ascii="宋体" w:hAnsi="宋体"/>
          <w:sz w:val="44"/>
          <w:szCs w:val="44"/>
        </w:rPr>
        <w:t>部门</w:t>
      </w:r>
      <w:r>
        <w:rPr>
          <w:rFonts w:ascii="宋体" w:hAnsi="宋体"/>
          <w:sz w:val="44"/>
          <w:szCs w:val="44"/>
        </w:rPr>
        <w:t>整体绩效</w:t>
      </w:r>
      <w:r>
        <w:rPr>
          <w:rFonts w:hint="eastAsia" w:ascii="宋体" w:hAnsi="宋体"/>
          <w:sz w:val="44"/>
          <w:szCs w:val="44"/>
        </w:rPr>
        <w:t>评价</w:t>
      </w:r>
      <w:r>
        <w:rPr>
          <w:rFonts w:ascii="宋体" w:hAnsi="宋体"/>
          <w:sz w:val="44"/>
          <w:szCs w:val="44"/>
        </w:rPr>
        <w:t>报告</w:t>
      </w:r>
    </w:p>
    <w:p w14:paraId="3332BCB5">
      <w:pPr>
        <w:spacing w:line="360" w:lineRule="auto"/>
        <w:rPr>
          <w:rFonts w:ascii="仿宋_GB2312" w:eastAsia="仿宋_GB2312"/>
          <w:sz w:val="32"/>
          <w:szCs w:val="32"/>
        </w:rPr>
      </w:pPr>
    </w:p>
    <w:p w14:paraId="58D6B4AA">
      <w:pPr>
        <w:spacing w:line="360" w:lineRule="auto"/>
        <w:rPr>
          <w:rFonts w:ascii="仿宋_GB2312" w:eastAsia="仿宋_GB2312"/>
          <w:sz w:val="32"/>
          <w:szCs w:val="32"/>
        </w:rPr>
      </w:pPr>
    </w:p>
    <w:p w14:paraId="0AFF1037">
      <w:pPr>
        <w:spacing w:line="360" w:lineRule="auto"/>
        <w:rPr>
          <w:rFonts w:ascii="仿宋_GB2312" w:eastAsia="仿宋_GB2312"/>
          <w:sz w:val="32"/>
          <w:szCs w:val="32"/>
        </w:rPr>
      </w:pPr>
    </w:p>
    <w:p w14:paraId="64894ADB">
      <w:pPr>
        <w:spacing w:line="360" w:lineRule="auto"/>
        <w:rPr>
          <w:rFonts w:ascii="仿宋_GB2312" w:eastAsia="仿宋_GB2312"/>
          <w:sz w:val="32"/>
          <w:szCs w:val="32"/>
        </w:rPr>
      </w:pPr>
    </w:p>
    <w:p w14:paraId="380832C8">
      <w:pPr>
        <w:spacing w:line="360" w:lineRule="auto"/>
        <w:rPr>
          <w:rFonts w:ascii="仿宋_GB2312" w:eastAsia="仿宋_GB2312"/>
          <w:sz w:val="32"/>
          <w:szCs w:val="32"/>
        </w:rPr>
      </w:pPr>
    </w:p>
    <w:p w14:paraId="1F0A4404">
      <w:pPr>
        <w:spacing w:line="360" w:lineRule="auto"/>
        <w:rPr>
          <w:rFonts w:ascii="仿宋_GB2312" w:eastAsia="仿宋_GB2312"/>
          <w:sz w:val="32"/>
          <w:szCs w:val="32"/>
        </w:rPr>
      </w:pPr>
    </w:p>
    <w:p w14:paraId="7EADA3D5">
      <w:pPr>
        <w:spacing w:line="360" w:lineRule="auto"/>
        <w:rPr>
          <w:rFonts w:ascii="仿宋_GB2312" w:eastAsia="仿宋_GB2312"/>
          <w:sz w:val="32"/>
          <w:szCs w:val="32"/>
        </w:rPr>
      </w:pPr>
    </w:p>
    <w:p w14:paraId="3207FBF1">
      <w:pPr>
        <w:spacing w:line="360" w:lineRule="auto"/>
        <w:ind w:firstLine="1760" w:firstLineChars="550"/>
        <w:rPr>
          <w:rFonts w:ascii="仿宋_GB2312" w:eastAsia="仿宋_GB2312"/>
          <w:sz w:val="32"/>
          <w:szCs w:val="32"/>
        </w:rPr>
      </w:pPr>
      <w:r>
        <w:rPr>
          <w:rFonts w:hint="eastAsia" w:ascii="仿宋_GB2312" w:eastAsia="仿宋_GB2312"/>
          <w:sz w:val="32"/>
          <w:szCs w:val="32"/>
        </w:rPr>
        <w:t>部门名称（公章）：</w:t>
      </w:r>
      <w:r>
        <w:rPr>
          <w:rFonts w:hint="eastAsia" w:ascii="仿宋_GB2312" w:eastAsia="仿宋_GB2312"/>
          <w:sz w:val="32"/>
          <w:szCs w:val="32"/>
          <w:lang w:val="en-US" w:eastAsia="zh-CN"/>
        </w:rPr>
        <w:t>深圳实验学校至臻高中</w:t>
      </w:r>
    </w:p>
    <w:p w14:paraId="34C3362D">
      <w:pPr>
        <w:spacing w:line="360" w:lineRule="auto"/>
        <w:ind w:firstLine="1760" w:firstLineChars="550"/>
        <w:rPr>
          <w:rFonts w:ascii="仿宋_GB2312" w:eastAsia="仿宋_GB2312"/>
          <w:sz w:val="32"/>
          <w:szCs w:val="32"/>
        </w:rPr>
      </w:pPr>
      <w:r>
        <w:rPr>
          <w:rFonts w:hint="eastAsia" w:ascii="仿宋_GB2312" w:eastAsia="仿宋_GB2312"/>
          <w:sz w:val="32"/>
          <w:szCs w:val="32"/>
        </w:rPr>
        <w:t>填报人：</w:t>
      </w:r>
      <w:r>
        <w:rPr>
          <w:rFonts w:hint="eastAsia" w:ascii="仿宋_GB2312" w:eastAsia="仿宋_GB2312"/>
          <w:sz w:val="32"/>
          <w:szCs w:val="32"/>
          <w:lang w:val="en-US" w:eastAsia="zh-CN"/>
        </w:rPr>
        <w:t>侯艳平</w:t>
      </w:r>
    </w:p>
    <w:p w14:paraId="5094FA49">
      <w:pPr>
        <w:spacing w:line="360" w:lineRule="auto"/>
        <w:ind w:firstLine="1760" w:firstLineChars="550"/>
        <w:rPr>
          <w:rFonts w:ascii="仿宋_GB2312" w:eastAsia="仿宋_GB2312"/>
          <w:sz w:val="32"/>
          <w:szCs w:val="32"/>
        </w:rPr>
      </w:pPr>
      <w:r>
        <w:rPr>
          <w:rFonts w:hint="eastAsia" w:ascii="仿宋_GB2312" w:eastAsia="仿宋_GB2312"/>
          <w:sz w:val="32"/>
          <w:szCs w:val="32"/>
        </w:rPr>
        <w:t>联系电话：</w:t>
      </w:r>
    </w:p>
    <w:p w14:paraId="15D82D5B">
      <w:pPr>
        <w:jc w:val="center"/>
        <w:rPr>
          <w:rFonts w:ascii="仿宋_GB2312" w:eastAsia="仿宋_GB2312"/>
          <w:sz w:val="32"/>
          <w:szCs w:val="32"/>
        </w:rPr>
      </w:pPr>
    </w:p>
    <w:p w14:paraId="64E45032">
      <w:pPr>
        <w:jc w:val="center"/>
        <w:rPr>
          <w:rFonts w:ascii="宋体" w:hAnsi="宋体"/>
          <w:sz w:val="44"/>
          <w:szCs w:val="44"/>
        </w:rPr>
      </w:pPr>
    </w:p>
    <w:p w14:paraId="61354BA1">
      <w:pPr>
        <w:jc w:val="center"/>
        <w:rPr>
          <w:rFonts w:ascii="宋体" w:hAnsi="宋体"/>
          <w:sz w:val="44"/>
          <w:szCs w:val="44"/>
        </w:rPr>
      </w:pPr>
    </w:p>
    <w:p w14:paraId="167D008A">
      <w:pPr>
        <w:rPr>
          <w:rFonts w:ascii="宋体" w:hAnsi="宋体"/>
          <w:sz w:val="44"/>
          <w:szCs w:val="44"/>
        </w:rPr>
      </w:pPr>
    </w:p>
    <w:p w14:paraId="6783BEDD">
      <w:pPr>
        <w:rPr>
          <w:rFonts w:ascii="宋体" w:hAnsi="宋体"/>
          <w:sz w:val="44"/>
          <w:szCs w:val="44"/>
        </w:rPr>
      </w:pPr>
    </w:p>
    <w:p w14:paraId="3A4EFA63">
      <w:pPr>
        <w:rPr>
          <w:rFonts w:ascii="宋体" w:hAnsi="宋体"/>
          <w:sz w:val="44"/>
          <w:szCs w:val="44"/>
        </w:rPr>
      </w:pPr>
    </w:p>
    <w:p w14:paraId="0C26A536">
      <w:pPr>
        <w:rPr>
          <w:rFonts w:hint="eastAsia" w:ascii="宋体" w:hAnsi="宋体"/>
          <w:sz w:val="44"/>
          <w:szCs w:val="44"/>
        </w:rPr>
      </w:pPr>
    </w:p>
    <w:p w14:paraId="7FB7AE2D">
      <w:pPr>
        <w:snapToGrid w:val="0"/>
        <w:spacing w:line="580" w:lineRule="exact"/>
        <w:ind w:firstLine="640" w:firstLineChars="200"/>
        <w:rPr>
          <w:rFonts w:ascii="黑体" w:hAnsi="黑体" w:eastAsia="黑体" w:cs="黑体"/>
          <w:bCs/>
          <w:sz w:val="32"/>
          <w:szCs w:val="32"/>
        </w:rPr>
      </w:pPr>
      <w:r>
        <w:rPr>
          <w:rFonts w:hint="eastAsia" w:ascii="黑体" w:hAnsi="黑体" w:eastAsia="黑体" w:cs="黑体"/>
          <w:bCs/>
          <w:sz w:val="32"/>
          <w:szCs w:val="32"/>
        </w:rPr>
        <w:t>一、部门基本情况</w:t>
      </w:r>
    </w:p>
    <w:p w14:paraId="75DEED29">
      <w:pPr>
        <w:numPr>
          <w:ilvl w:val="0"/>
          <w:numId w:val="1"/>
        </w:numPr>
        <w:snapToGrid w:val="0"/>
        <w:spacing w:line="580" w:lineRule="exact"/>
        <w:ind w:left="0" w:leftChars="0" w:firstLine="420" w:firstLineChars="0"/>
        <w:rPr>
          <w:rFonts w:hint="eastAsia" w:ascii="仿宋_GB2312" w:hAnsi="Adobe 楷体 Std R" w:eastAsia="仿宋_GB2312"/>
          <w:color w:val="000000"/>
          <w:sz w:val="32"/>
          <w:szCs w:val="32"/>
        </w:rPr>
      </w:pPr>
      <w:r>
        <w:rPr>
          <w:rFonts w:hint="eastAsia" w:ascii="仿宋_GB2312" w:hAnsi="Adobe 楷体 Std R" w:eastAsia="仿宋_GB2312"/>
          <w:b/>
          <w:bCs/>
          <w:color w:val="000000"/>
          <w:sz w:val="32"/>
          <w:szCs w:val="32"/>
        </w:rPr>
        <w:t>部门主要职能。</w:t>
      </w:r>
    </w:p>
    <w:p w14:paraId="13E0CAC8">
      <w:pPr>
        <w:snapToGrid w:val="0"/>
        <w:spacing w:line="580" w:lineRule="exact"/>
        <w:ind w:left="420" w:leftChars="0" w:firstLine="420" w:firstLineChars="0"/>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1.贯彻执行党和国家的教育方针、政策、法规，研究拟定学校发展规划和年度计划，组织实施教育体制和办学体制改革。
2.管理和指导学校基础教育工作，提高受教育者素质，培养学生习惯、组织教育教学、科学研究活动，保证教育教学质量。
3.规划学校品德教育、体育卫生教育、艺术教育和国防教育工作。培养现代社会的劳动者和各级各类专门人才。服务于社会的发展，着眼于社会的需要，服务于社会的发展。</w:t>
      </w:r>
    </w:p>
    <w:p w14:paraId="4F506706">
      <w:pPr>
        <w:numPr>
          <w:ilvl w:val="0"/>
          <w:numId w:val="1"/>
        </w:numPr>
        <w:snapToGrid w:val="0"/>
        <w:spacing w:line="580" w:lineRule="exact"/>
        <w:ind w:left="0" w:leftChars="0" w:firstLine="420" w:firstLineChars="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年度总体工作和重点工作任务。</w:t>
      </w:r>
    </w:p>
    <w:p w14:paraId="1F869C40">
      <w:pPr>
        <w:snapToGrid w:val="0"/>
        <w:spacing w:line="580" w:lineRule="exact"/>
        <w:ind w:left="420" w:leftChars="0" w:firstLine="420" w:firstLineChars="0"/>
        <w:rPr>
          <w:rFonts w:hint="eastAsia" w:ascii="仿宋_GB2312" w:hAnsi="仿宋_GB2312" w:eastAsia="仿宋_GB2312" w:cs="仿宋_GB2312"/>
          <w:sz w:val="32"/>
          <w:szCs w:val="32"/>
        </w:rPr>
      </w:pPr>
      <w:r>
        <w:rPr>
          <w:rFonts w:hint="eastAsia" w:ascii="仿宋_GB2312" w:hAnsi="Adobe 楷体 Std R" w:eastAsia="仿宋_GB2312"/>
          <w:color w:val="000000"/>
          <w:sz w:val="32"/>
          <w:szCs w:val="32"/>
          <w:lang w:val="en-US" w:eastAsia="zh-CN"/>
        </w:rPr>
        <w:t>坚持党建引领，确保文化理念落地，发挥融合办学优势；全面开放展示，扩大学校社会影响，彰显实验办学实力；落实立德树人，实施健全人格教育，体现实验教育内涵；强化责任担当，提升教育教学能力，夯实实验育人基础；指向多元选择，推进五阶课程建设，搭建学生成长平台；追求和谐稳定，重视校园安全工作，守护师生健康平安。</w:t>
      </w:r>
    </w:p>
    <w:p w14:paraId="26EE8648">
      <w:pPr>
        <w:numPr>
          <w:ilvl w:val="0"/>
          <w:numId w:val="1"/>
        </w:numPr>
        <w:snapToGrid w:val="0"/>
        <w:spacing w:line="580" w:lineRule="exact"/>
        <w:ind w:left="0" w:leftChars="0" w:firstLine="420" w:firstLineChars="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2023</w:t>
      </w:r>
      <w:r>
        <w:rPr>
          <w:rFonts w:hint="eastAsia" w:ascii="仿宋_GB2312" w:hAnsi="仿宋_GB2312" w:eastAsia="仿宋_GB2312" w:cs="仿宋_GB2312"/>
          <w:b/>
          <w:bCs/>
          <w:sz w:val="32"/>
          <w:szCs w:val="32"/>
        </w:rPr>
        <w:t>年部门预算编制情况。</w:t>
      </w:r>
    </w:p>
    <w:p w14:paraId="78E551B1">
      <w:pPr>
        <w:snapToGrid w:val="0"/>
        <w:spacing w:line="580" w:lineRule="exact"/>
        <w:ind w:left="420" w:leftChars="0" w:firstLine="420" w:firstLineChars="0"/>
        <w:rPr>
          <w:rFonts w:ascii="仿宋_GB2312" w:hAnsi="仿宋_GB2312" w:eastAsia="仿宋_GB2312" w:cs="仿宋_GB2312"/>
          <w:sz w:val="32"/>
          <w:szCs w:val="32"/>
        </w:rPr>
      </w:pPr>
      <w:r>
        <w:rPr>
          <w:rFonts w:hint="eastAsia" w:ascii="仿宋_GB2312" w:hAnsi="Adobe 楷体 Std R" w:eastAsia="仿宋_GB2312"/>
          <w:color w:val="000000"/>
          <w:sz w:val="32"/>
          <w:szCs w:val="32"/>
          <w:lang w:val="en-US" w:eastAsia="zh-CN"/>
        </w:rPr>
        <w:t>我校预算编制工作遵循《中华人民共和国预算法》、《深圳市财政局关于2022年市本级预算和2022一2024年中期财政规划编制工作安排的通知》及校内预算编制规定，按照零基预算方式合理、规范编制预算。预算申报符合财政部门“二上二下”、从严从实编实编细部门预算的要求。依照财政拨款收入和明确支出控制数，同时，结合市教育局的工作指导方针和要求，落实各部门职责及年度重点工作任务，细化支出预算，区分基本支出和项目支出，做好人员经费和公用经费的控制，明确项目支出总额和项目具体任务。使预算资金能够在不同项目，不同用途之间合理分配，使资金结构与重点项目任务相符，预算规模和支出安排相符，预算目标与产出效果相符。制定了年度预算编制实施工作方案，对预算申报、审批、监控和绩效评价等进行了具体实施程序的规范。各职能部门是预算申请和使用的责任部门，负责实施和管理履职类和专项项目预算，是学校预算的责任主体。校务会则是预算的审批机构，负责年度预算审核和重大预算支出决议等工作。在支出预算审核过程中，财务部门会根据学校下一年招生规模、事业编制数及事业发展规划和单位收支计划等因素，汇总编制预算方案。按照项目轻重缓急，在不同项目、不同用途之间进行预算指标的合理分配，对项目预算进行细化，确保功能分类和经济分类准确。同时，学校规范设置了一二级项目，形成内容清晰、结构合理、重点明确，能够准确反映学校的主要职能和支出政策，充分体现预算项目具体实施内容、执行方式、绩效目标等基本要素的项目体系。以“真实性、完整性、重点性、科学性、透明性、绩效性”为基本原则，结合学校年度工作计划和重点任务需要，汇编年度支出预算总表，经学校预算编制小组汇总初审后，经校领导集体会议审议通过后，上报财政部门。预算绩效目标指标是基于年度重点工作计划和任务制定的，符合学校履职的要求。整体绩效目标从数量、质量、时效、社会效益和满意度等方面进行了细化和量化，目标设计清晰、细致、可衡量。所有项目均按照产出目标和效益目标分别按照数量、质量、时效、成本、社会效益以及满意度等六个指标方面进行了尽量细化、量化目标值的设定，不能量化的目标则尽量使用定性标准描述。此外，按照主管部门要求，申报预算的同时，申报绩效目标。</w:t>
      </w:r>
    </w:p>
    <w:p w14:paraId="4C6CF50E">
      <w:pPr>
        <w:numPr>
          <w:ilvl w:val="0"/>
          <w:numId w:val="1"/>
        </w:numPr>
        <w:snapToGrid w:val="0"/>
        <w:spacing w:line="580" w:lineRule="exact"/>
        <w:ind w:left="0" w:leftChars="0" w:firstLine="420" w:firstLineChars="0"/>
        <w:rPr>
          <w:rFonts w:hint="eastAsia" w:ascii="仿宋_GB2312" w:hAnsi="楷体_GB2312" w:eastAsia="仿宋_GB2312" w:cs="楷体_GB2312"/>
          <w:bCs/>
          <w:sz w:val="32"/>
          <w:szCs w:val="32"/>
        </w:rPr>
      </w:pPr>
      <w:r>
        <w:rPr>
          <w:rFonts w:hint="eastAsia" w:ascii="仿宋_GB2312" w:hAnsi="仿宋_GB2312" w:eastAsia="仿宋_GB2312" w:cs="仿宋_GB2312"/>
          <w:b/>
          <w:bCs/>
          <w:sz w:val="32"/>
          <w:szCs w:val="32"/>
          <w:lang w:val="en-US" w:eastAsia="zh-CN"/>
        </w:rPr>
        <w:t>2023</w:t>
      </w:r>
      <w:r>
        <w:rPr>
          <w:rFonts w:hint="eastAsia" w:ascii="仿宋_GB2312" w:hAnsi="楷体_GB2312" w:eastAsia="仿宋_GB2312" w:cs="楷体_GB2312"/>
          <w:b/>
          <w:bCs/>
          <w:sz w:val="32"/>
          <w:szCs w:val="32"/>
        </w:rPr>
        <w:t>年部门预算执行情</w:t>
      </w:r>
      <w:r>
        <w:rPr>
          <w:rFonts w:hint="eastAsia" w:ascii="仿宋_GB2312" w:hAnsi="楷体_GB2312" w:eastAsia="仿宋_GB2312" w:cs="楷体_GB2312"/>
          <w:b/>
          <w:bCs w:val="0"/>
          <w:sz w:val="32"/>
          <w:szCs w:val="32"/>
        </w:rPr>
        <w:t>况。</w:t>
      </w:r>
    </w:p>
    <w:p w14:paraId="37CC6DB8">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支标准和报销附件资料真实、完整。准确区分功能科目和经济分类，会计核算准确，财务信息可靠。</w:t>
      </w:r>
    </w:p>
    <w:p w14:paraId="3B361B71">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（1）政府采购执行情况</w:t>
      </w:r>
    </w:p>
    <w:p w14:paraId="6EEC1D7A">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2023年度我校政府采购预算数10万元，按规定编制了详细的政府采购计划，所有计划均按照项目进度和指标金额完成，年末采购执行数9.94万元，政府采购执行率99.4%。采购实施过程规范，所有政府采购项目按照计划及时开展，及时签署合同并做好备案。采购验收合格率100%，资产入库率100%。</w:t>
      </w:r>
    </w:p>
    <w:p w14:paraId="67E33033">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（2）本年资金结转结余</w:t>
      </w:r>
    </w:p>
    <w:p w14:paraId="244A8471">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本年无财政资金结转结余。</w:t>
      </w:r>
    </w:p>
    <w:p w14:paraId="210C67F5">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（3）财务合规性</w:t>
      </w:r>
    </w:p>
    <w:p w14:paraId="41EC6F5E">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我校一直遵守相关法律法规和内部控制管理制度，财务活动都在校长及各级业务分管负责人的领导下进行。我校明确了财务管理职能和会计核算职能，并对六大经济业务进行了制度约束和流程规范，通过预算管理、收入管理、支出管理、政府采购管理等方式进行财务管理。</w:t>
      </w:r>
    </w:p>
    <w:p w14:paraId="2A84964D">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支出业务实现了从手工控制到系统控制。为切实做好费用支出的内部控制，所有经费使用和支出必须使用学校的财务内控系统，由经办人发起经费申请，所需经费挂接预算科目，经过财务部门和相关领导审批后，才能开展业务活动，内控系统设计了严谨的内部审批流程和审批权限，严禁无计划、超预算、超标准、虚列支出的行为。</w:t>
      </w:r>
    </w:p>
    <w:p w14:paraId="6E6998F5">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我们坚持勤俭办事的方针，在处理事业发展需要和资金供给、社会效益和经济效益、国家、单位和师生三者利益之间的关系时，都会谨慎处理。重大支出项目必须通过集体会议决定，且不存在截留、挤占、挪用资金等不合规情况。</w:t>
      </w:r>
    </w:p>
    <w:p w14:paraId="1F3606A9">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为确保数据的准确性和真实性，会计核算统一由财政国库支付中心进行。审批流程严格按照分级授权管理制度执行，重大决策事项、重大项目安排和大额资金使用都必须经过三重一大决策程序和集体决议后才能办理。</w:t>
      </w:r>
    </w:p>
    <w:p w14:paraId="1DEB3147">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我校合理编制单位预算，严格预算执行，完整、准确编制单位决算，依法组织收入，努力节约支出，建立健全财务制度，加强经济核算，实施绩效评价，提高资金使用效益，加强资产管理，合理配置和有效利用资产，防止资产流失，加强对单位经济活动的财务控制和监督，防范财务风险等主要任务。</w:t>
      </w:r>
    </w:p>
    <w:p w14:paraId="72B61DF0">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2.项目管理</w:t>
      </w:r>
    </w:p>
    <w:p w14:paraId="42F29893">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在项目实施程序上比较规范，符合申报条件，申报、批复程序均符合相关管理办法。</w:t>
      </w:r>
    </w:p>
    <w:p w14:paraId="296FEB82">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我校制定了《采购工作管理办法》、《建设项目（小型建设)管理制度》等办法，并按照事前管控，事中监督，事后评价的管理理念，开展项目全过程管理。具体操作包括：</w:t>
      </w:r>
    </w:p>
    <w:p w14:paraId="77E8A483">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（1）项目事前立项和采购审批。常规类和非常规类项目均按照预算项目管理的相关审核程序进行立项和预算审批，项目的招投标、合同、业务执行、验收、监管等严格依照相关制度的规定，并实行预算控制。</w:t>
      </w:r>
    </w:p>
    <w:p w14:paraId="09F0E994">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2）做好项目过程监督和采购实施。为做好采购验收，学校组织成立项目验收工作组，并按照项目验收说明，执行验收工作。同时，项目申报部门负责对各自管理的项目进度、绩效目标进行监控，并在项目实施过程中针对执行偏差情况及时提出纠偏措施，确保项目实施达到预期目标。</w:t>
      </w:r>
    </w:p>
    <w:p w14:paraId="476B4703">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（3）做好项目验收和效果评估。资金使用部门在项目执行结束后对照确定的绩效目标开展绩效自评，并形成相应的项目自评结果，作为单位预、决算的重要组成内容以及以后年度预算安排的重要基础。</w:t>
      </w:r>
    </w:p>
    <w:p w14:paraId="260DBFD2">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按照上级部门要求，每年通过智慧财政系统完成了项目绩效监控填报，对上一年度的所有二级项目开展预算绩效评价，并将评价结果作为下一年度预算安排的考虑因素。</w:t>
      </w:r>
    </w:p>
    <w:p w14:paraId="57218AE7">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3.资产管理</w:t>
      </w:r>
    </w:p>
    <w:p w14:paraId="192A55F0">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为了更好地管理和利用学校的资产，保证教育教学正常开展，我校根据国家相关规定，制定了资产管理制度。规范了资产的购置、验收、入库、使用、处置、盘点等程序。学校采用“统一领导、归口管理”的管理体制，总务处负责固定资产管理工作，各部门实行部门负责人负责制，确保固定资产的账实相符、账卡（账标）相符、账账相符。为了保证资产的安全完整，保障使用效率，学校采取了“统一领导、分级管理、管用结合”的机制，“谁使用谁保管”的原则，每项固定资产责任到人。学校还按照政府会计制度，每月计提固定资产折旧，年底按照财政局和教育局的资产年报要求，开展资产年报的编报工作，并对固定资产定期开展清查盘点，逐一落实使用部门、使用人、存放地点、使用状况等情况，做到资产台账清晰，资产实物完整。</w:t>
      </w:r>
    </w:p>
    <w:p w14:paraId="559BF701">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截至2023年12月31日，固定资产原值为0万元，净值0万元；实际在用固定资产净值0万元。</w:t>
      </w:r>
    </w:p>
    <w:p w14:paraId="3ADAB553">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4.人员管理</w:t>
      </w:r>
    </w:p>
    <w:p w14:paraId="4BC95D78">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截至2023年12月31日，我校的人员管理情况如下：核定编制数为32人，实际在编人数为32人，其他人员为0人，财政供养人员控制率为100%。此外，我校年末学生人数为496人。</w:t>
      </w:r>
    </w:p>
    <w:p w14:paraId="7476E764">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5.制度管理</w:t>
      </w:r>
    </w:p>
    <w:p w14:paraId="74E7F26F">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我校积极完善内控制度，已建立预算、收支、采购、合同、资产、建设项目等多项内部控制管理制度，并详细绘制了流程图及流程说明。这些制度和流程明确了学校经济业务活动的基本原则、主要控制点、流程关键节点的风险点和控制措施，以及相关岗位人员的职责，并将其发布为学校经济活动操作指南，以确保学校经济活动的合规有序。针对内外部变化，我们将及时更新和完善这些制度和流程，以维护学校经济活动的健康发展，提升单位综合治理能力，不断提升公众服务质量。</w:t>
      </w:r>
    </w:p>
    <w:p w14:paraId="08885CB8">
      <w:pPr>
        <w:spacing w:line="580" w:lineRule="exact"/>
        <w:ind w:firstLine="627" w:firstLineChars="196"/>
        <w:rPr>
          <w:rFonts w:ascii="黑体" w:hAnsi="黑体" w:eastAsia="黑体"/>
          <w:sz w:val="32"/>
          <w:szCs w:val="32"/>
        </w:rPr>
      </w:pPr>
      <w:r>
        <w:rPr>
          <w:rFonts w:hint="eastAsia" w:ascii="黑体" w:hAnsi="黑体" w:eastAsia="黑体"/>
          <w:sz w:val="32"/>
          <w:szCs w:val="32"/>
        </w:rPr>
        <w:t>二、部门主要履职绩效分析</w:t>
      </w:r>
    </w:p>
    <w:p w14:paraId="534A4902">
      <w:pPr>
        <w:spacing w:line="580" w:lineRule="exact"/>
        <w:ind w:firstLine="640" w:firstLineChars="200"/>
        <w:rPr>
          <w:rFonts w:ascii="仿宋_GB2312" w:eastAsia="仿宋_GB2312"/>
          <w:sz w:val="32"/>
          <w:szCs w:val="32"/>
        </w:rPr>
      </w:pPr>
      <w:r>
        <w:rPr>
          <w:rFonts w:hint="eastAsia" w:ascii="仿宋_GB2312" w:eastAsia="仿宋_GB2312"/>
          <w:color w:val="000000"/>
          <w:kern w:val="0"/>
          <w:sz w:val="32"/>
          <w:szCs w:val="32"/>
        </w:rPr>
        <w:t>各部门要按照“部门职责—工作任务—预算项目”三个层级规范部门预算绩效管理结构，</w:t>
      </w:r>
      <w:r>
        <w:rPr>
          <w:rFonts w:hint="eastAsia" w:ascii="仿宋_GB2312" w:eastAsia="仿宋_GB2312"/>
          <w:sz w:val="32"/>
          <w:szCs w:val="32"/>
        </w:rPr>
        <w:t>结合本部门主要职责和年度重点工作任务，对预算使用绩效进行分析。可参照《部门整体支出绩效评价共性指标体系框架》（详见附件），结合部门履职实际增加个性类指标，进一步完善部门整体评价指标体系后进行评分评级，形成评价结果。分析内容包括但不限于以下几项：</w:t>
      </w:r>
    </w:p>
    <w:p w14:paraId="0076D200">
      <w:pPr>
        <w:numPr>
          <w:ilvl w:val="0"/>
          <w:numId w:val="2"/>
        </w:numPr>
        <w:spacing w:line="580" w:lineRule="exact"/>
        <w:ind w:left="0" w:leftChars="0" w:firstLine="420" w:firstLineChars="0"/>
        <w:rPr>
          <w:rFonts w:ascii="楷体_GB2312" w:hAnsi="楷体" w:eastAsia="楷体_GB2312"/>
          <w:b/>
          <w:sz w:val="32"/>
          <w:szCs w:val="32"/>
        </w:rPr>
      </w:pPr>
      <w:r>
        <w:rPr>
          <w:rFonts w:hint="eastAsia" w:ascii="楷体_GB2312" w:hAnsi="楷体" w:eastAsia="楷体_GB2312"/>
          <w:b/>
          <w:sz w:val="32"/>
          <w:szCs w:val="32"/>
        </w:rPr>
        <w:t>主要履职目标</w:t>
      </w:r>
    </w:p>
    <w:p w14:paraId="74F13315">
      <w:pPr>
        <w:snapToGrid w:val="0"/>
        <w:spacing w:line="580" w:lineRule="exact"/>
        <w:ind w:firstLine="1056" w:firstLineChars="330"/>
        <w:rPr>
          <w:rFonts w:hint="eastAsia" w:ascii="仿宋_GB2312" w:eastAsia="仿宋_GB2312"/>
          <w:sz w:val="32"/>
          <w:szCs w:val="32"/>
        </w:rPr>
      </w:pPr>
      <w:r>
        <w:rPr>
          <w:rFonts w:hint="eastAsia" w:ascii="仿宋_GB2312" w:hAnsi="Adobe 楷体 Std R" w:eastAsia="仿宋_GB2312"/>
          <w:color w:val="000000"/>
          <w:sz w:val="32"/>
          <w:szCs w:val="32"/>
          <w:lang w:val="en-US" w:eastAsia="zh-CN"/>
        </w:rPr>
        <w:t>1.学校发展方面，崇文高中将努力实现高中园的办学使命，致力于培养德智体美劳全面发展，具有家国情怀和国际视野的创新型人才，努力创办人民满意、具有鲜明的深圳特色和实验气质的国内一流高中园。
2.教育教学方面，崇文高中将以高标准办学为指导思想，狠抓教学、注重教师成长，完善课程设置体系，打造教学管理体系，打磨学生学习品质，为学生提供多元化的发展路径，注重因材施教，鼓励学生全面发展自主发展，为此学校将持续开展各类教育教学活动。
3.学生培养方面，崇文高中将落实高中园学生培养理念，培养学生“学会做人与学会学习相融合、学科教学与特长培养相融合、通识教育与个性成长相融合、理论学习与实践体验相融合”
4.课程建设方面，崇文高中将以科学素养为支点，侧重文史哲贯通课程，培养人文情怀；广泛开展教师研修培训活动，提升教师专业能力及课程建设水平。
5.常规管理方面，崇文高中将提供良好的工作及学习环境，对学校建筑物及构筑物进行日常维修保养，及时对学校故障设施进行维修，保障校园安全。同时完成设备设施采购，设备安装验收合格，提升校园环境，提高师生满意度。</w:t>
      </w:r>
    </w:p>
    <w:p w14:paraId="00AF5B67">
      <w:pPr>
        <w:numPr>
          <w:ilvl w:val="0"/>
          <w:numId w:val="2"/>
        </w:numPr>
        <w:spacing w:line="580" w:lineRule="exact"/>
        <w:ind w:left="0" w:leftChars="0" w:firstLine="420" w:firstLineChars="0"/>
        <w:rPr>
          <w:rFonts w:ascii="楷体_GB2312" w:hAnsi="楷体" w:eastAsia="楷体_GB2312"/>
          <w:b/>
          <w:sz w:val="32"/>
          <w:szCs w:val="32"/>
        </w:rPr>
      </w:pPr>
      <w:r>
        <w:rPr>
          <w:rFonts w:hint="eastAsia" w:ascii="楷体_GB2312" w:hAnsi="楷体" w:eastAsia="楷体_GB2312"/>
          <w:b/>
          <w:sz w:val="32"/>
          <w:szCs w:val="32"/>
        </w:rPr>
        <w:t>主要履职情况</w:t>
      </w:r>
    </w:p>
    <w:p w14:paraId="354CA863">
      <w:pPr>
        <w:snapToGrid w:val="0"/>
        <w:spacing w:line="580" w:lineRule="exact"/>
        <w:ind w:firstLine="1056" w:firstLineChars="330"/>
        <w:rPr>
          <w:rFonts w:ascii="仿宋_GB2312" w:eastAsia="仿宋_GB2312"/>
          <w:sz w:val="32"/>
          <w:szCs w:val="32"/>
        </w:rPr>
      </w:pPr>
      <w:r>
        <w:rPr>
          <w:rFonts w:hint="eastAsia" w:ascii="仿宋_GB2312" w:hAnsi="Adobe 楷体 Std R" w:eastAsia="仿宋_GB2312"/>
          <w:color w:val="000000"/>
          <w:sz w:val="32"/>
          <w:szCs w:val="32"/>
          <w:lang w:val="en-US" w:eastAsia="zh-CN"/>
        </w:rPr>
        <w:t>深实至臻高中坚持实施以爱国主义教育为基础的健全人格教育，秉持“明理、崇文、卓越、至臻”的园训，发扬“开放包容，融合共享，求真创新，精细务实”的园区精神，积极践行“学会做人与学会学习相融合，学科教学与特长培养相融合，通识教育与个性成长相融合，理论学习与实践体验相融合”的学生培养理念，取得了令社会各界满意的办学成绩。下面从六个方面对本学期至臻高中教育教学工作作一总结。
一、坚持党建引领，确保文化理念落地，发挥融合办学优势
本学期深圳实验学校高中园联合党委团结带领广大党员干部和群众教工，完善基层组织架构，深入开展主题教育，聚焦融合办学探索，不断激发全体师生示范引领、担当作为的精气神。
园区联合党委在学期初提出党建工作“三引领三保障三融合”特色品牌——“党建工作引领文化理念落地、党建工作引领教师队伍成长、党建工作引领学生全面发展；党建工作保障学校治理体系科学、党建工作保障学校后勤服务全面、党建工作保障学校安全工作有效；党建工作与师德师风建设相融合、党建工作与教育教学工作相融合、党建工作与学生德育工作相融合”，全方位带领群团妇青争优创先，党建领航成效显著。
园区联合党委充分发挥把关定向、压舱稳舵的领导作用，加强融合办学顶层设计，发挥融合办学优势。特别是至臻高中党总支、各年级楼栋党支部成立后，党员教师以学赋能，知责履职，在学深悟透上下功夫、在制度执行上动真格、在生动实践中求实效，不断推动园区各项工作高质量发展。
二、全面开放展示，扩大学校社会影响，彰显实验办学实力
本学期至臻高中成功举办教育教学开放日活动，近万名家长、学生和社会各界朋友走进校园，近距离体验深实高中园“一园四校”的优美景致与特色文化。开放日当天，学校课堂及活动全面开放，家长和学生走进教室，听课体验，走向社团，观摩欣赏，与老师们对话，与同学们交流，融合融通的教育教学模式，令人心生向往。符合国家级剧院标准的演艺中心、恒温游泳馆、综合体育馆、智能图书馆、各功能室、高端实验室、学生宿舍及食堂全部面向社会开放，多元的文体活动、精致的生活空间及美味的特色菜品，让来访者赞不绝口。学校的全面开放展示让社会真切感受到学校优良的学习氛围和校园文化气息、深切感受到学校在平和真实中潜移默化地实施健全人格教育、看到了学校的办学品质及精细管理，看到了扎实有效、精彩纷呈的课堂教学，看到了老师们辛勤备课、批改、辅导的美丽身影，看到了孩子们在学校健康快乐成长的美好瞬间。所有这一切充分体现了深实高中园一步步扩大的社会影响力，充分彰显园区办学的强大实力！
三、落实立德树人，实施健全人格教育，体现实验教育内涵
随着“五育并举”育人模式的不断深化，我们深刻地认识到，社会进步需要人格健全的人，教育应该致力于学生的人格培养和完善，通过培养人格健全的公民，促进个体和社会的全面发展。重视学生健全人格的培养，已成为深实高中园理应肩负的责任。
在园区融合教育的大德育观框架下，至臻高中高度重视德育课程建设，聚焦学生核心素养，培养学生健全人格。德育教育系列课程以主题晨会、主题班会、年级师生大会、家长会为教育主阵地，高一年级以养成教育为核心，优化习惯、涵养性格；高二年级以能力培养为核心，提高情商、完善品格。学生处、团委继续加强学生干部培养，鼓励学生积极参与园区建设与管理，参与学生常规检查和校园活动组织，带领学生参与德育课程建设。本学期，学生处还组织开展涵盖“安全教育”、“法制教育”、“国防教育”、“诚信教育”、“生命教育”、“感恩教育”、“爱国主义教育”、“传统文化教育”、“文明礼仪教育”等内容的德育主题教育，激发了同学们的进取心、仁爱心、自信心，锻造了同学们的耐受力及自律性，厚植了家国情怀，提升了生命意识、法制意识，激励每一位同学努力争做文明高雅、积极进取的深实高中园学子。
四、强化责任担当，提升教育教学能力，夯实实验育人基础
高品位文化理念的落地，高质量教育教学的实施，都离不开一大批敬业爱岗、严谨精深的教职工。
园区努力建设以德育专家为引领，以骨干教师为核心，以青年教师为重点，以心理老师、生活老师为辅助的德育团队，坚持全面育人、全员育人。本学期学生处在定期召开全体班主任会议的基础上，落实每周分楼栋召开班主任工作例会及年级师生大会、生活老师例会，将德育教育落在实处。为夯实班主任基本功，本学期学生处推出了精心准备的6节主题班会示范课，以观摩促成长。同时，以交流促进步，以比赛促反思，遴选桂巧艳、蒋洁芳老师参加2023年全市德育骨干和名班主任工作室主持人培训，组织多名青年教师参加市级班主任培训，号召心理老师和班主任全员参与心理学C证、B证的培训，精心组织班主任参加深圳市第二届中小学生安全教育教学能力大赛，其中8名班主任跻身复赛，取得了良好的教育辐射作用，产生了积极的社会影响。
学校高质量的教学必须建立在精细务实的常规工作和扎实有效的教师专业培养基础上。本学期教务处制定了明确细致的集体教研制度，强调了集体备课定时、定点、定人、定主题的“四定”工作要求，开展了形式多样、卓有成效的集体备课活动。我们看到了备课组对常规课堂教学重难点、作业布置、培优周测日练命题、试卷讲评的分层次实施有效教学的精确定位；我们看到了备课组对青年教师公开课的精细打磨、对骨干教师示范课的精深研讨；我们看到了备课组对教师教学素养和专业能力的精湛追求。学校集体备课厚重扎实，合作研讨蔚然成风。与此同时，学校通过开展包括高标准的入职前教育教学跟岗实习、青年教师解题大赛、青年教师板书设计大赛、学科教师沙龙、全学科公开课示范课（共计308节）、“两部一园”同课异构（共计9节）、优秀教案评比等一系列举措和教育教学活动，帮助青年教师尽快适应教育教学工作，为青年教师发展搭建平台。多位教师相继获奖，生物学科王丽老师获得第39届深圳市青少年科技创新大赛创新成果项目一等奖；生物学科王丽老师、物理学科周钰谊老师的作品入选省级学科精品课，其中王丽老师的作品入选部级精品课；语文学科王文婧老师、生物学科王丽老师获得深圳市教学能力大赛二等奖；在深圳市中小学教师微课大赛中，至臻高中共有15位老师获奖，其中二等奖5人，三等奖10人。相信至臻高中教师在学校的大力支持下定能茁壮成长，大展风采！
为进一步提升教师培训质量，开拓教师视野，提升教师能力，本学期学校借助书话坪山之“和坪山一起文学”主题沙龙活动，邀请“茅盾文学奖”获得者毕飞宇来校开设讲座；邀请四川省特级教师、“全国优秀教师”奖章获得者、成都市教科院原语文教研员程一凡老师到校进行教学研讨与交流分享；邀请全国著名英语教育专家程晓堂教授来校指导，并开展了题为“高中英语教学中的突出问题与建议”的讲座。
五、指向多元选择，推进五阶课程建设，搭建学生成长平台
站在新高考、新课程的维度上，至臻高中坚定迈出了以“尊重个性，着眼未来”的课程文化建设为突破口的改革步伐，积极推进包括基础分层课程、模块分类课程、素养活动课程、创新拔尖课程和卓越荣誉课程在内的“1+N”五阶课程体系建设。
在模块分类课程中，学校设计满足学生不同学习程度的专题课程。本学期，以高考学科为主体的基础学科模块分类课程和以美术、音乐、体育学科为试点的综合类模块课程全面铺开，模块自选，全员必修，循环往复的形式，为学生提供了多元化、个性化的选择。本学期基础学科模块分类课程共开设4期，共计33个学科教学模块，每个教学模块含基础，培优，拔尖三个层次的模块课程。在综合类模块课程中，美术学科开设了编织基础、刺绣基础、剪纸基础、水彩基础创作、装饰画、陶艺基础、掐丝珐琅画、版画基础练习、综合材料绘画等9个模块；音乐学科开设了合奏、演奏、歌唱、音乐与戏剧、音乐与舞蹈、舞蹈表演、音乐基础理论等7个模块；体育学科开设了田径、健美操、武术、游泳、球类等5个模块；有效落实五育并举，培养“人格健全，学业进步，特长明显，和谐发展”的至臻高中学子。
在素养活动课程中，学校坚持五育并举，综合实践，深实传统的“三节一月一周”与日常丰富的社团活动向全社会展示了至臻高中的育人风采。
本学期高一年级开展了以“严明纪律、强健体魄、挑战自我、磨练意志”为主题的国防教育活动。在高一年级全体老师的关注和陪伴下，在坪山人武部教官的精心指导和严格训练下，高一年级全体同学圆满地完成了为期五天的国防教育课程，同学们爱国主义热情得以激发，团队合作精神得以升华，组织纪律意识得以提升，良好行为习惯得以养成。希望同学们以坚定的信念迎接新的挑战。
本学期至臻高中成功举办“运动放飞梦想，奋斗铸就辉煌”为主题的2023年体育文化节暨第二届田径运动会，特别是运动会的开幕式，让我们感受到：大气、震撼。在学生处的统一组织下，在体育组全体老师的全情投入下，在全体老师的积极配合下，在全体同学的努力训练下，我们做到了效果全集团最好，得到社会各界的高度认可。开幕式上，前导队、花队、红旗队、教师方阵及高二班级方阵步伐整齐，展示着实验师生的自信与豪迈，激情与活力。舞动华尔兹、活力啦啦操、刚柔太极扇、飞扬舞龙队、慷锵军体拳，更是向来宾们展示了深实高中园学子们的朝气蓬勃和昂扬斗志。本届开幕式的成功举办，再一次证明了深实高中园拥有一支特别能战斗的师生队伍。
本学期至臻高中成功举办“遨游书海间，奋进新征程”为主题的第二届读书月活动。在为期两个月的活动中，五个学科，十个备课组开展了文学作品展演、话剧表演、《汉密尔顿》音乐剧表演、英语配音大赛、“学史征文”、口述报告史、地理手绘报展览、岩石及矿物收集展览、全球气候分布图创意绘制大赛、模拟法庭、经济论坛、“主播说联播，今天我来说”活动等一系列精彩纷呈的学科特色活动。值得庆贺的是，由郭艳、叶丰园老师指导的作品《青春中国》获得深圳市首届“经典颂中华”朗诵大赛总决赛团体类最高分，由盘静宇老师指导的作品《将进酒》获得优秀奖。阅读引领风尚，书香浸润校园，深实学子遨游书海之间，全员阅读</w:t>
      </w:r>
      <w:r>
        <w:rPr>
          <w:rFonts w:hint="eastAsia" w:ascii="仿宋_GB2312" w:hAnsi="Adobe 楷体 Std R" w:eastAsia="仿宋_GB2312"/>
          <w:color w:val="000000"/>
          <w:sz w:val="32"/>
          <w:szCs w:val="32"/>
          <w:lang w:val="en-US" w:eastAsia="zh-CN"/>
        </w:rPr>
        <w:t>，静水流深，至臻高中走出一条书香馥郁的读书友好型学校先行示范路。
社团活动是拓宽学生成长的重要平台。学校始终坚持以学生社团建设、学生活动为突破口，努力打造精品社团。本学期至臻高中近50个学生社团活动的开展精彩纷呈，社团活动开展更富实效。特别是首届“社团嘉年华”活动，科创社、聆音合唱团、cool流行乐社、油画社、水彩&amp;缠花社、校园电视台、游泳社、篮球社等50多个社团相聚在高中园共享大道上，展示青春活力，放飞青春梦想。至臻高中的学子们用涌动的青春谱写多彩的校园文化。本学期至臻高中依托社团活动，积极参加各级各类比赛，取得了优异成绩。首次受邀亮相第四届深圳校园文化节暨大湾区校园文化展，荣获最具人气奖、鲲鹏奖、魅力社团奖、优秀指导老师等奖项以及大湾区高质量教育行先行示范学校荣誉称号；陈立行同学获得第七届中央音乐学院青少年艺术展演全国比赛高中组金展演奖，王玺茹同学获得全国青少年音乐素养大赛决赛二等奖；在第七届“希望颂”全国青少年书画艺术大赛中，共有4位同学获得全国一等奖，12位同学获得全国二等奖，54位同学获得全国三等奖，32位同学获得全国优秀奖；女子足球队首次参加深圳市大中小学生校园足球赛，获得高中组亚军；游泳队首次参加深圳市中小学生游泳比赛，金牌、银牌收入囊中，并获得团体总分第九名的好成绩；田径队首次参加广东省中学生田径锦标赛，取得优异成绩，多名队员达到国家二级运动员标准。
在创新拔尖课程中，至臻高中借助二期开办费建设的人工智能实验室、金融与大数据实验室、化学医药探索实验室、量子计算与通信实验室、轨道交通实验室、新能源实验室、海洋生物实验室、航空航天实验室等在内的20间高端创新实验室，下学期将正式投入使用，为学有所长、术有所专的同学积极开发人文素养、科技创新和学科竞赛等高端课程，开拓学生创新视野，挖掘学生科研潜能。本学期至臻高中共开设148门校本选修课程，共开设“专家大讲堂”讲座12场，真正实现跨校区选课和跨校区上课。基于创新拔尖课程的开设，至臻高中五大学科竞赛取得突破，高二刘绎同学获得全国物理竞赛省二等奖，高一邓梓乔同学获得全国化学竞赛省二等奖、全国数学竞赛省三等奖；在全国信息学竞赛中，共计获得4个省一等奖、4个省二等奖；生物竞赛也有两名学生进入到复赛阶段；在全国高中生创新能力大赛中，共计获得8个省一等奖，14个省二等奖，15个三等奖，14个省优秀奖；在“外研社杯”全国中学生外语素养大赛中，共有53名同学成功晋级广东地区决赛；高二李文道、陈子越和邓钧瑞三位同学作品《高性能无人驾驶太空车》获得全国青少年科技教育成果展示大赛总决赛全国一等奖；高二张皓然同学获得ITC青少年科技创新设计大赛全国总决赛一等奖；高二林俊同学获得第十届“中航国际杯”空天科技创意大赛高中组一等奖。
在卓越荣誉课程中，至臻高中打造以导师引领为实施方式，以深度钻研、培养尖端人才为目标的系列课程，为特长学生拓宽升学路径；至臻高中还将以师生双向互选为原则，为学业优秀同学配备导师，提供个性化的生涯规划、心理咨询、学业辅导、成长记录等订制课程。
六、追求和谐稳定，重视校园安全工作，守护师生健康平安
所有教育教学工作的顺利开展需要安全做保障，安全工作是至臻高中工作的重中之重，全体师生都应该重视安全问题，共同参与排除安全隐患。学校积极完善各项安全机制，落实各项安全工作。本学期，学校除完成日常安全工作以外，还认真组织开展安全教育周、校园消防疏散演习、AED操作培训等活动，开展防溺水、防诈骗、防霸凌、禁毒、消防安全、交通安全、心理健康教育、生命教育等安全教育主题晨会、班会，组织学生开展网络学习，有效杜绝校园安全事故和校园欺凌现象，确保校园平安。此外，学校还健全各类季节性疾病、传染病的预防和紧急预案，建立学生安全工作和校园内外其他安全工作的联动机制，做到安全工作无死角。通过大家的共同努力，至臻高中安全、圆满地完成了本学期的教育教学工作。</w:t>
      </w:r>
    </w:p>
    <w:p w14:paraId="41B727EA">
      <w:pPr>
        <w:numPr>
          <w:ilvl w:val="0"/>
          <w:numId w:val="2"/>
        </w:numPr>
        <w:spacing w:line="580" w:lineRule="exact"/>
        <w:ind w:left="0" w:leftChars="0" w:firstLine="420" w:firstLineChars="0"/>
        <w:rPr>
          <w:rFonts w:ascii="楷体_GB2312" w:hAnsi="楷体" w:eastAsia="楷体_GB2312"/>
          <w:b/>
          <w:sz w:val="32"/>
          <w:szCs w:val="32"/>
        </w:rPr>
      </w:pPr>
      <w:r>
        <w:rPr>
          <w:rFonts w:hint="eastAsia" w:ascii="楷体_GB2312" w:hAnsi="楷体" w:eastAsia="楷体_GB2312"/>
          <w:b/>
          <w:sz w:val="32"/>
          <w:szCs w:val="32"/>
        </w:rPr>
        <w:t>部门履职绩效情况</w:t>
      </w:r>
    </w:p>
    <w:p w14:paraId="16110A04">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1.经济性</w:t>
      </w:r>
    </w:p>
    <w:p w14:paraId="1BA6EBF8">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（1）“三公”经费控制率：</w:t>
      </w:r>
    </w:p>
    <w:p w14:paraId="187280B0">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2023年，至臻高中“三公”经费预算数0万元，实际支出数0.万元。</w:t>
      </w:r>
    </w:p>
    <w:p w14:paraId="358F99BF">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本指标总分6分，得6分。</w:t>
      </w:r>
    </w:p>
    <w:p w14:paraId="1BB64FFC">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（2）日常公用经费控制率：</w:t>
      </w:r>
    </w:p>
    <w:p w14:paraId="750C7067">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日常公用经费预算数1283.39万元，实际支出数1138.6元，日常公用经费控制率89%，日常公用经费管控情况较好。</w:t>
      </w:r>
    </w:p>
    <w:p w14:paraId="5EC7C4BF">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本指标总分3分，得2分。</w:t>
      </w:r>
    </w:p>
    <w:p w14:paraId="77699942">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2.效率性</w:t>
      </w:r>
    </w:p>
    <w:p w14:paraId="35B5C166">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（1）预算执行率：</w:t>
      </w:r>
    </w:p>
    <w:p w14:paraId="23E66112">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至臻高中2023年9月新开办学校，第三、四季的分季预算执行率分别为：</w:t>
      </w:r>
    </w:p>
    <w:p w14:paraId="17C4B335">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第三季度部门年度预算金额52.55万元，累计支出额0.14万元，当季部门预算资金支出进度0.27%，当季序时进度75%，当季分值为1分，第三季度该项得0分。</w:t>
      </w:r>
    </w:p>
    <w:p w14:paraId="3F20AEF6">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第四季度部门年度预算金额52.55万元，累计支出额51.62万元，当季部门预算资金支出98.24%进度，当季序时进100%度，当季分值为1分，第四季度该项得0.98分。</w:t>
      </w:r>
    </w:p>
    <w:p w14:paraId="75EA5365">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至臻高中高中2023年度全年平均执行率为49%，该项分值为2分，全年平均率得分0.98分。综合以上，此指标共6分，得3.96分。</w:t>
      </w:r>
    </w:p>
    <w:p w14:paraId="2B25B4C6">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（2）重点工作完成情况：</w:t>
      </w:r>
    </w:p>
    <w:p w14:paraId="4E8A3EFD">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2023年，至臻高中无党委、政府、人大和上级部门下达或交办的重要事项或工作。</w:t>
      </w:r>
    </w:p>
    <w:p w14:paraId="3221A1CE">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本指标总分8分，得8分。</w:t>
      </w:r>
    </w:p>
    <w:p w14:paraId="1A50E0CD">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（3）项目完成及时性：</w:t>
      </w:r>
    </w:p>
    <w:p w14:paraId="286233C0">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至臻高中2023年度开展项目1个，年度预算执行率实际为90.3%。预算安排的项目按计划时间完成。实际完成项目1个。</w:t>
      </w:r>
    </w:p>
    <w:p w14:paraId="410D1205">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本指标总分6分，得6分。</w:t>
      </w:r>
    </w:p>
    <w:p w14:paraId="1256E629">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3.效果性</w:t>
      </w:r>
    </w:p>
    <w:p w14:paraId="1DF8327F">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至臻高中2023年学校正在完善校内的基础设施，完善基层组织架构，深入开展主题教育，聚焦融合办学探索，不断激发全体师生示范引领、担当作为的精气神，完成相关项目方案的制定和实施。（1）抓党建，重育人。全面贯彻党的教育方针，落实立德树人根本任务，坚定不移地实施教育优先发展战略，以“加快推进深圳教育先行示范，办好人民满意的教育”为导向，以教育评价改革为牵引，以促进公平和提高质量为重点。秉持“爱国求知”的办学理念，不断完善学校制度建设，加强科学管理，促学校内涵发展和特色发展，切实培育深圳实验学校高中园学子独特的精神气质。学校领导干部和全体党员认真学习党的二十大及习近平总书记重要讲话精神和批示指示精神，努力增强“四个意识”，落实“两个维护”，坚决拥护和落实党中央重大决策部署，落实党风廉政建设责任制；加强党组织建设，从严管理干部队伍，强化师德师风教育，落实《关于进一步激励广大干部新时代新担当新作为的意见》和《新时代教师职业行为准则的通知》。坚持心中装着师生，服务师生；坚持用人做事维护师生利益，维护学校利益；坚持用人用才、用人用德的原则。强化党总支和教代会监督和约束机制，倡导党员干部廉洁奉献精神，防止违纪现象发生。以抓好基层党建工作为抓手，积极发挥基层党组织的引领作用，建立党员模范示范岗，让党员老师带动学校德育工作，发挥支部委员会的作用。培养学生爱党、爱祖国、爱人民、爱家、爱师长、爱自己、爱学习、爱劳动。努力打造“为党育人、为国育才”的至臻高中高中学习乐园。</w:t>
      </w:r>
    </w:p>
    <w:p w14:paraId="25E8FCB9">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2）注重实效，狠抓管理。公用及教学活动工作，学校为教育教学提供了稳定的经济保障，提高教育质量和教学效果，完善课程设置体系，打造教学管理体系，打磨学生学习品质，学校开展各类教育教学活动为学生提供多元化的发展路径，组织开展涵盖“安全教育”、“法制教育”、“国防教育”、“诚信教育”、“生命教育”、“感恩教育”、“爱国主义教育”、“传统文化教育”、“文明礼仪教育”等内容的德育主题教育，激发了同学们的进取心、仁爱心、自信心，锻造了同学们的耐受力及自律性，厚植了家国情怀，提升了生命意识、法制意识，激励每一位同学努力争做文明高雅、积极进取的深实高中园学子。购买了新的教学设备、更新教材、提升教学环境等，提高教育质量，学校制定了明确细致的集体教研制度，强调了集体备课定时、定点、定人、定主题的“四定”工作要求，开展了形式多样、卓有成效的集体备课活动，课组对常规课堂教学重难点、作业布置、培优周测日练命题、试卷讲评的分层次实施有效教学的精确定位，本学期，以高考学科为主体的基础学科模块分类课程和以美术、音乐、体育学科为试点的综合类模块课程全面铺开，模块自选，全员必修，循环往复的形式，为学生提供了多元化、个性化的选择。本学期基础学科模块分类课程共开设4期，共计33个学科教学模块，每个教学模块含基础，培优，拔尖三个层次的模块课程。打造以导师引领为实施方式，以深度钻研、培养尖端人才为目标的系列课程，为特长学生拓宽升学路径；以师生双向互选为原则，为学业优秀同学配备导师，提供个性化的生涯规划、心理咨询、学业辅导、成长记录等订制课程。</w:t>
      </w:r>
    </w:p>
    <w:p w14:paraId="71CA7226">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4）后勤保障服务。一是认真开展大排查、大整改活动，助力平安校园建设。开学前，总务处对校园教室和宿舍进行全面检查，排查安全隐患。定期对校舍及教育设施、设备的安全进行检查，发现隐患，立即排除。经常深入教室进行检查，发现问题，及时处理，防患于未然。二是为了及时了解学生的就餐情况和学生对食堂饭菜的反馈意见，总务处安排了行政领导每天陪餐工作，同时家长也参与了学校的陪餐工作；校园餐食管理方面学校高度重视，组织均衡合理安排营养健康饮食。三是做好学校设施的维护工作，加强校舍、水电等的常规管理，做到发现问题及时解决。制定各项后勤管理制度，加强学校资产管理、提高使用效率，做好财产登记工作。</w:t>
      </w:r>
    </w:p>
    <w:p w14:paraId="0C5A447E">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本指标总分25分，得25分。</w:t>
      </w:r>
    </w:p>
    <w:p w14:paraId="09120ABE">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4.公平性</w:t>
      </w:r>
    </w:p>
    <w:p w14:paraId="63FB2DB0">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（1）群众信访办理情况</w:t>
      </w:r>
    </w:p>
    <w:p w14:paraId="3B38122B">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至臻高中  在开展教育教学的各项工作中，面向全校师生、家长设置了意见反映渠道和意见办理回复机制，同时学校也组织制定了信访工作制度。全校师生、家长均能够通过“12345”热线、校长信箱等渠道，公平、及时反馈各类意见、建议，学校对于各类群众信访事件均要求按规定及时予以回复。2023年至臻高中未接到群众信访事件。</w:t>
      </w:r>
    </w:p>
    <w:p w14:paraId="1EBE0F89">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本指标总分3分，得3分。</w:t>
      </w:r>
    </w:p>
    <w:p w14:paraId="68CC6BEA">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（2）公众或服务对象满意度</w:t>
      </w:r>
    </w:p>
    <w:p w14:paraId="6E1A0FE1">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至臻高中组织对教育教学、事业管理等多方面开展评价与满意度调查工作，部门履职效果的满意度较高。</w:t>
      </w:r>
    </w:p>
    <w:p w14:paraId="7A2AD6B7">
      <w:pPr>
        <w:spacing w:line="580" w:lineRule="exact"/>
        <w:ind w:firstLine="627" w:firstLineChars="196"/>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本指标总分6分，得6分。</w:t>
      </w:r>
    </w:p>
    <w:p w14:paraId="5DDE979A">
      <w:pPr>
        <w:spacing w:line="580" w:lineRule="exact"/>
        <w:ind w:firstLine="627" w:firstLineChars="196"/>
        <w:rPr>
          <w:rFonts w:ascii="黑体" w:hAnsi="黑体" w:eastAsia="黑体"/>
          <w:sz w:val="32"/>
          <w:szCs w:val="32"/>
        </w:rPr>
      </w:pPr>
      <w:r>
        <w:rPr>
          <w:rFonts w:hint="eastAsia" w:ascii="黑体" w:hAnsi="黑体" w:eastAsia="黑体"/>
          <w:sz w:val="32"/>
          <w:szCs w:val="32"/>
        </w:rPr>
        <w:t xml:space="preserve"> 三、总体评价和整改措施</w:t>
      </w:r>
    </w:p>
    <w:p w14:paraId="2F464F8B">
      <w:pPr>
        <w:numPr>
          <w:ilvl w:val="0"/>
          <w:numId w:val="3"/>
        </w:numPr>
        <w:spacing w:line="580" w:lineRule="exact"/>
        <w:ind w:left="0" w:leftChars="0" w:firstLine="420" w:firstLineChars="0"/>
        <w:rPr>
          <w:rFonts w:hint="eastAsia" w:ascii="仿宋_GB2312" w:eastAsia="仿宋_GB2312"/>
          <w:b/>
          <w:bCs/>
          <w:sz w:val="32"/>
          <w:szCs w:val="32"/>
        </w:rPr>
      </w:pPr>
      <w:r>
        <w:rPr>
          <w:rFonts w:hint="eastAsia" w:ascii="仿宋_GB2312" w:eastAsia="仿宋_GB2312"/>
          <w:b/>
          <w:bCs/>
          <w:sz w:val="32"/>
          <w:szCs w:val="32"/>
        </w:rPr>
        <w:t>预算绩效管理工作主要经验、做法。</w:t>
      </w:r>
    </w:p>
    <w:p w14:paraId="59195A40">
      <w:pPr>
        <w:snapToGrid w:val="0"/>
        <w:spacing w:line="580" w:lineRule="exact"/>
        <w:ind w:firstLine="1056" w:firstLineChars="330"/>
        <w:rPr>
          <w:rFonts w:hint="eastAsia" w:ascii="仿宋_GB2312" w:eastAsia="仿宋_GB2312"/>
          <w:sz w:val="32"/>
          <w:szCs w:val="32"/>
        </w:rPr>
      </w:pPr>
      <w:r>
        <w:rPr>
          <w:rFonts w:hint="eastAsia" w:ascii="仿宋_GB2312" w:hAnsi="Adobe 楷体 Std R" w:eastAsia="仿宋_GB2312"/>
          <w:color w:val="000000"/>
          <w:sz w:val="32"/>
          <w:szCs w:val="32"/>
          <w:lang w:val="en-US" w:eastAsia="zh-CN"/>
        </w:rPr>
        <w:t>2023年，我校从预算绩效管理的机制、制度、编制、执行、监督等方面进行了加强。
1）机制制定方面。我校明确规定了校长对预算绩效管理工作总体负责，财务部门负责预算日常管理，各业务科室负责预算实施和管理工作。
2）制度优化方面。我校建立健全了包括预算管理制度在内的内部控制管理制度，并明确了相关岗位人员的职责。
3）预算编制方面。针对部门整体绩效，我校根据年度重点工作计划和任务，设置了符合我校履职的绩效目标；对于项目预算绩效，我校根据项目预算编制工作的原则和要求，各部门申请项目预算，并在智慧财政系统编报了《项目支出绩效目标申报表》。
4）预算执行方面。我校严格按照分级授权管理制度执行审批，规范各项费用开支程序，准确执行经济分类和会计核算，专款专用。为确保会计核算数据准确，每月和年度都进行数据核对，以保证财务数据真实和准确。不存在超范围、超标准、虚列支出，也不存在截留、挤占和挪用资金的情况。对于重大决策事项、重大项目安排和大额资金使用，按照三重一大决策程序进行集体决议。
5）绩效监督方面。我校将预决算信息通过深圳市政府官网、市教育局官网、本校网站公开公示，接受社会公众的监督；预算执行过程中根据上级单位要求在智慧财政系统完成一次绩效监控工作；每年开展预算绩效自评。</w:t>
      </w:r>
    </w:p>
    <w:p w14:paraId="2804F4F7">
      <w:pPr>
        <w:numPr>
          <w:ilvl w:val="0"/>
          <w:numId w:val="3"/>
        </w:numPr>
        <w:spacing w:line="580" w:lineRule="exact"/>
        <w:ind w:left="0" w:leftChars="0" w:firstLine="420" w:firstLineChars="0"/>
        <w:rPr>
          <w:rFonts w:hint="eastAsia" w:ascii="仿宋_GB2312" w:eastAsia="仿宋_GB2312"/>
          <w:b/>
          <w:bCs/>
          <w:sz w:val="32"/>
          <w:szCs w:val="32"/>
        </w:rPr>
      </w:pPr>
      <w:r>
        <w:rPr>
          <w:rFonts w:hint="eastAsia" w:ascii="仿宋_GB2312" w:eastAsia="仿宋_GB2312"/>
          <w:b/>
          <w:bCs/>
          <w:sz w:val="32"/>
          <w:szCs w:val="32"/>
        </w:rPr>
        <w:t>部门整体支出绩效存在问题及改进措施。</w:t>
      </w:r>
    </w:p>
    <w:p w14:paraId="21DB8B5B">
      <w:pPr>
        <w:snapToGrid w:val="0"/>
        <w:spacing w:line="580" w:lineRule="exact"/>
        <w:ind w:firstLine="1056" w:firstLineChars="330"/>
        <w:rPr>
          <w:rFonts w:hint="eastAsia" w:ascii="仿宋_GB2312" w:eastAsia="仿宋_GB2312"/>
          <w:sz w:val="32"/>
          <w:szCs w:val="32"/>
        </w:rPr>
      </w:pPr>
      <w:r>
        <w:rPr>
          <w:rFonts w:hint="eastAsia" w:ascii="仿宋_GB2312" w:hAnsi="Adobe 楷体 Std R" w:eastAsia="仿宋_GB2312"/>
          <w:color w:val="000000"/>
          <w:sz w:val="32"/>
          <w:szCs w:val="32"/>
          <w:lang w:val="en-US" w:eastAsia="zh-CN"/>
        </w:rPr>
        <w:t>1.对所实施项目的检查、监控、督促整改等管理。季度预算支出率低于序时预算执行率，存在部分项目进度控制力度不足，存在项目延时交付的情况。
改进措施：进一步加强项目进度监控，使计划与实际进度接近。
2. 我校新开办，选聘、社招教职工还在办理入职手续中，暂未到岗，导致在职人员经费季度预算支出率低于序时预算执行率，存在部分项目进度控制力度不足。
改进措施：后续将加快办理新教职工入职手续。 
3.政府采购执行率偏低 全年指标执行81%，加强采购引导，使支出进度尽量与季度预算执行率持平。
改进措施：加强政府采购采购实施水平，提高采购需求编制精确度，缩小计划与市场的偏差。</w:t>
      </w:r>
    </w:p>
    <w:p w14:paraId="10DB2535">
      <w:pPr>
        <w:numPr>
          <w:ilvl w:val="0"/>
          <w:numId w:val="3"/>
        </w:numPr>
        <w:spacing w:line="580" w:lineRule="exact"/>
        <w:ind w:left="0" w:leftChars="0" w:firstLine="420" w:firstLineChars="0"/>
        <w:rPr>
          <w:rFonts w:hint="eastAsia" w:ascii="仿宋_GB2312" w:eastAsia="仿宋_GB2312"/>
          <w:b/>
          <w:bCs/>
          <w:sz w:val="32"/>
          <w:szCs w:val="32"/>
        </w:rPr>
      </w:pPr>
      <w:r>
        <w:rPr>
          <w:rFonts w:hint="eastAsia" w:ascii="仿宋_GB2312" w:eastAsia="仿宋_GB2312"/>
          <w:b/>
          <w:bCs/>
          <w:sz w:val="32"/>
          <w:szCs w:val="32"/>
        </w:rPr>
        <w:t>后续工作计划、相关建议等。</w:t>
      </w:r>
    </w:p>
    <w:p w14:paraId="518EC48E">
      <w:pPr>
        <w:snapToGrid w:val="0"/>
        <w:spacing w:line="580" w:lineRule="exact"/>
        <w:ind w:firstLine="1056" w:firstLineChars="330"/>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t>1）提高预算编制的精度和质量。学校应该加强对预算编制的审查，确保各部门的预算申请符合实际需求，预算目标明确，并与年度重点工作计划和任务相一致。此外，学校还可以通过对历史数据和趋势的分析，进一步优化预算编制的质量。
2）加强绩效监督和评价。学校应该建立健全的绩效监督和评价机制，定期对项目预算执行情况进行跟踪和分析，并及时反馈绩效评价结果。同时，学校还应该注重社会公众的监督和参与，通过网上公示、听取意见等方式，进一步提高绩效管理的透明度和公信力。学校还可以继续加强公平性工作，例如增加对学生、教职员工的反馈机制，完善考核评价体系，进一步提升学校公平性水平。
3）持续改进内部控制和管理制度。学校应该不断完善和优化内部控制和管理制度，特别是针对存在的风险和问题，及时采取相应的纠正和改进措施，以确保预算绩效管理工作的有效性和可持续性。
4）建立知识管理体系。学校应该建立知识管理体系，促进知识和经验的共享和传承，避免出现信息孤岛和人才流失的导致风险。同时，学校还可以通过组织培训和知识分享等活动，提高预算绩效管理人员的专业能力和综合素质。</w:t>
      </w:r>
    </w:p>
    <w:p w14:paraId="6A2E2BC5">
      <w:pPr>
        <w:snapToGrid w:val="0"/>
        <w:spacing w:line="580" w:lineRule="exact"/>
        <w:ind w:firstLine="1056" w:firstLineChars="330"/>
        <w:rPr>
          <w:rFonts w:hint="eastAsia" w:ascii="仿宋_GB2312" w:hAnsi="Adobe 楷体 Std R" w:eastAsia="仿宋_GB2312"/>
          <w:color w:val="000000"/>
          <w:sz w:val="32"/>
          <w:szCs w:val="32"/>
          <w:lang w:val="en-US" w:eastAsia="zh-CN"/>
        </w:rPr>
      </w:pPr>
      <w:r>
        <w:rPr>
          <w:rFonts w:hint="eastAsia" w:ascii="仿宋_GB2312" w:hAnsi="Adobe 楷体 Std R" w:eastAsia="仿宋_GB2312"/>
          <w:color w:val="000000"/>
          <w:sz w:val="32"/>
          <w:szCs w:val="32"/>
          <w:lang w:val="en-US" w:eastAsia="zh-CN"/>
        </w:rPr>
        <w:br w:type="page"/>
      </w:r>
    </w:p>
    <w:p w14:paraId="3254AAB8">
      <w:pPr>
        <w:spacing w:line="580" w:lineRule="exact"/>
        <w:ind w:firstLine="630" w:firstLineChars="196"/>
        <w:rPr>
          <w:rFonts w:hint="eastAsia" w:ascii="仿宋_GB2312" w:eastAsia="仿宋_GB2312"/>
          <w:sz w:val="32"/>
          <w:szCs w:val="32"/>
          <w:lang w:val="en-US" w:eastAsia="zh-CN"/>
        </w:rPr>
      </w:pPr>
      <w:r>
        <w:rPr>
          <w:rFonts w:hint="eastAsia" w:ascii="黑体" w:hAnsi="黑体" w:eastAsia="黑体"/>
          <w:b/>
          <w:bCs/>
          <w:sz w:val="32"/>
          <w:szCs w:val="32"/>
        </w:rPr>
        <w:t>四、部门整体支出绩效评价指标评分情况</w:t>
      </w:r>
    </w:p>
    <w:tbl>
      <w:tblPr>
        <w:tblStyle w:val="6"/>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19"/>
        <w:gridCol w:w="1623"/>
        <w:gridCol w:w="2670"/>
        <w:gridCol w:w="444"/>
        <w:gridCol w:w="737"/>
        <w:gridCol w:w="678"/>
        <w:gridCol w:w="601"/>
        <w:gridCol w:w="752"/>
        <w:gridCol w:w="698"/>
      </w:tblGrid>
      <w:tr w14:paraId="5680D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705" w:type="pct"/>
            <w:gridSpan w:val="3"/>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92B05AE">
            <w:pPr>
              <w:keepNext w:val="0"/>
              <w:keepLines w:val="0"/>
              <w:widowControl/>
              <w:suppressLineNumbers w:val="0"/>
              <w:jc w:val="center"/>
              <w:textAlignment w:val="center"/>
              <w:rPr>
                <w:rFonts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深圳实验学校至臻高中</w:t>
            </w:r>
          </w:p>
        </w:tc>
        <w:tc>
          <w:tcPr>
            <w:tcW w:w="1098" w:type="pct"/>
            <w:gridSpan w:val="3"/>
            <w:tcBorders>
              <w:top w:val="single" w:color="000000" w:sz="4" w:space="0"/>
              <w:left w:val="single" w:color="000000" w:sz="4" w:space="0"/>
              <w:bottom w:val="single" w:color="000000" w:sz="4" w:space="0"/>
              <w:right w:val="single" w:color="000000" w:sz="4" w:space="0"/>
            </w:tcBorders>
            <w:shd w:val="clear" w:color="auto" w:fill="DBDBDB"/>
            <w:noWrap/>
            <w:vAlign w:val="center"/>
          </w:tcPr>
          <w:p w14:paraId="531FBDF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部门编码</w:t>
            </w:r>
          </w:p>
        </w:tc>
        <w:tc>
          <w:tcPr>
            <w:tcW w:w="1195" w:type="pct"/>
            <w:gridSpan w:val="3"/>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2DA1FB5">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103071</w:t>
            </w:r>
          </w:p>
        </w:tc>
      </w:tr>
      <w:tr w14:paraId="6545D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87" w:type="pct"/>
            <w:vMerge w:val="restart"/>
            <w:tcBorders>
              <w:top w:val="single" w:color="000000" w:sz="4" w:space="0"/>
              <w:left w:val="single" w:color="000000" w:sz="4" w:space="0"/>
              <w:bottom w:val="single" w:color="000000" w:sz="4" w:space="0"/>
              <w:right w:val="single" w:color="000000" w:sz="4" w:space="0"/>
            </w:tcBorders>
            <w:shd w:val="clear" w:color="auto" w:fill="DBDBDB"/>
            <w:noWrap/>
            <w:vAlign w:val="center"/>
          </w:tcPr>
          <w:p w14:paraId="6F8CCFE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任务名称</w:t>
            </w:r>
          </w:p>
        </w:tc>
        <w:tc>
          <w:tcPr>
            <w:tcW w:w="952" w:type="pct"/>
            <w:vMerge w:val="restart"/>
            <w:tcBorders>
              <w:top w:val="single" w:color="000000" w:sz="4" w:space="0"/>
              <w:left w:val="single" w:color="000000" w:sz="4" w:space="0"/>
              <w:bottom w:val="single" w:color="000000" w:sz="4" w:space="0"/>
              <w:right w:val="single" w:color="000000" w:sz="4" w:space="0"/>
            </w:tcBorders>
            <w:shd w:val="clear" w:color="auto" w:fill="DBDBDB"/>
            <w:noWrap/>
            <w:vAlign w:val="center"/>
          </w:tcPr>
          <w:p w14:paraId="2713C6F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主要内容</w:t>
            </w:r>
          </w:p>
        </w:tc>
        <w:tc>
          <w:tcPr>
            <w:tcW w:w="1566" w:type="pct"/>
            <w:vMerge w:val="restart"/>
            <w:tcBorders>
              <w:top w:val="single" w:color="000000" w:sz="4" w:space="0"/>
              <w:left w:val="single" w:color="000000" w:sz="4" w:space="0"/>
              <w:bottom w:val="single" w:color="000000" w:sz="4" w:space="0"/>
              <w:right w:val="single" w:color="000000" w:sz="4" w:space="0"/>
            </w:tcBorders>
            <w:shd w:val="clear" w:color="auto" w:fill="DBDBDB"/>
            <w:noWrap/>
            <w:vAlign w:val="center"/>
          </w:tcPr>
          <w:p w14:paraId="2A4016D0">
            <w:pPr>
              <w:keepNext w:val="0"/>
              <w:keepLines w:val="0"/>
              <w:widowControl/>
              <w:suppressLineNumbers w:val="0"/>
              <w:jc w:val="center"/>
              <w:textAlignment w:val="center"/>
              <w:rPr>
                <w:rFonts w:hint="eastAsia" w:ascii="宋体" w:hAnsi="宋体" w:eastAsia="宋体" w:cs="宋体"/>
                <w:b/>
                <w:bCs/>
                <w:i w:val="0"/>
                <w:iCs w:val="0"/>
                <w:color w:val="FF0000"/>
                <w:sz w:val="22"/>
                <w:szCs w:val="22"/>
                <w:u w:val="none"/>
              </w:rPr>
            </w:pPr>
            <w:r>
              <w:rPr>
                <w:rFonts w:hint="eastAsia" w:ascii="宋体" w:hAnsi="宋体" w:eastAsia="宋体" w:cs="宋体"/>
                <w:b/>
                <w:bCs/>
                <w:i w:val="0"/>
                <w:iCs w:val="0"/>
                <w:color w:val="FF0000"/>
                <w:kern w:val="0"/>
                <w:sz w:val="22"/>
                <w:szCs w:val="22"/>
                <w:u w:val="none"/>
                <w:lang w:val="en-US" w:eastAsia="zh-CN" w:bidi="ar"/>
              </w:rPr>
              <w:t>*</w:t>
            </w:r>
            <w:r>
              <w:rPr>
                <w:rFonts w:hint="eastAsia" w:ascii="宋体" w:hAnsi="宋体" w:eastAsia="宋体" w:cs="宋体"/>
                <w:b/>
                <w:bCs/>
                <w:i w:val="0"/>
                <w:iCs w:val="0"/>
                <w:color w:val="000000"/>
                <w:kern w:val="0"/>
                <w:sz w:val="22"/>
                <w:szCs w:val="22"/>
                <w:u w:val="none"/>
                <w:lang w:val="en-US" w:eastAsia="zh-CN" w:bidi="ar"/>
              </w:rPr>
              <w:t>完成情况</w:t>
            </w:r>
          </w:p>
        </w:tc>
        <w:tc>
          <w:tcPr>
            <w:tcW w:w="1098" w:type="pct"/>
            <w:gridSpan w:val="3"/>
            <w:tcBorders>
              <w:top w:val="single" w:color="000000" w:sz="4" w:space="0"/>
              <w:left w:val="single" w:color="000000" w:sz="4" w:space="0"/>
              <w:bottom w:val="single" w:color="000000" w:sz="4" w:space="0"/>
              <w:right w:val="single" w:color="000000" w:sz="4" w:space="0"/>
            </w:tcBorders>
            <w:shd w:val="clear" w:color="auto" w:fill="DBDBDB"/>
            <w:noWrap/>
            <w:vAlign w:val="center"/>
          </w:tcPr>
          <w:p w14:paraId="3D59E2E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预算数（元）</w:t>
            </w:r>
          </w:p>
        </w:tc>
        <w:tc>
          <w:tcPr>
            <w:tcW w:w="1195" w:type="pct"/>
            <w:gridSpan w:val="3"/>
            <w:tcBorders>
              <w:top w:val="single" w:color="000000" w:sz="4" w:space="0"/>
              <w:left w:val="single" w:color="000000" w:sz="4" w:space="0"/>
              <w:bottom w:val="single" w:color="000000" w:sz="4" w:space="0"/>
              <w:right w:val="single" w:color="000000" w:sz="4" w:space="0"/>
            </w:tcBorders>
            <w:shd w:val="clear" w:color="auto" w:fill="DBDBDB"/>
            <w:noWrap/>
            <w:vAlign w:val="center"/>
          </w:tcPr>
          <w:p w14:paraId="589FAFB7">
            <w:pPr>
              <w:keepNext w:val="0"/>
              <w:keepLines w:val="0"/>
              <w:widowControl/>
              <w:suppressLineNumbers w:val="0"/>
              <w:jc w:val="center"/>
              <w:textAlignment w:val="center"/>
              <w:rPr>
                <w:rFonts w:hint="eastAsia" w:ascii="宋体" w:hAnsi="宋体" w:eastAsia="宋体" w:cs="宋体"/>
                <w:b/>
                <w:bCs/>
                <w:i w:val="0"/>
                <w:iCs w:val="0"/>
                <w:color w:val="FF0000"/>
                <w:sz w:val="22"/>
                <w:szCs w:val="22"/>
                <w:u w:val="none"/>
              </w:rPr>
            </w:pPr>
            <w:r>
              <w:rPr>
                <w:rFonts w:hint="eastAsia" w:ascii="宋体" w:hAnsi="宋体" w:eastAsia="宋体" w:cs="宋体"/>
                <w:b/>
                <w:bCs/>
                <w:i w:val="0"/>
                <w:iCs w:val="0"/>
                <w:color w:val="FF0000"/>
                <w:kern w:val="0"/>
                <w:sz w:val="22"/>
                <w:szCs w:val="22"/>
                <w:u w:val="none"/>
                <w:lang w:val="en-US" w:eastAsia="zh-CN" w:bidi="ar"/>
              </w:rPr>
              <w:t>*</w:t>
            </w:r>
            <w:r>
              <w:rPr>
                <w:rFonts w:hint="eastAsia" w:ascii="宋体" w:hAnsi="宋体" w:eastAsia="宋体" w:cs="宋体"/>
                <w:b/>
                <w:bCs/>
                <w:i w:val="0"/>
                <w:iCs w:val="0"/>
                <w:color w:val="000000"/>
                <w:kern w:val="0"/>
                <w:sz w:val="22"/>
                <w:szCs w:val="22"/>
                <w:u w:val="none"/>
                <w:lang w:val="en-US" w:eastAsia="zh-CN" w:bidi="ar"/>
              </w:rPr>
              <w:t>执行数（元）</w:t>
            </w:r>
          </w:p>
        </w:tc>
      </w:tr>
      <w:tr w14:paraId="5D7A2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BDBDB"/>
            <w:noWrap/>
            <w:vAlign w:val="center"/>
          </w:tcPr>
          <w:p w14:paraId="37C73F08">
            <w:pPr>
              <w:jc w:val="center"/>
              <w:rPr>
                <w:rFonts w:hint="eastAsia" w:ascii="宋体" w:hAnsi="宋体" w:eastAsia="宋体" w:cs="宋体"/>
                <w:b/>
                <w:bCs/>
                <w:i w:val="0"/>
                <w:iCs w:val="0"/>
                <w:color w:val="000000"/>
                <w:sz w:val="22"/>
                <w:szCs w:val="22"/>
                <w:u w:val="none"/>
              </w:rPr>
            </w:pPr>
          </w:p>
        </w:tc>
        <w:tc>
          <w:tcPr>
            <w:tcW w:w="952" w:type="pct"/>
            <w:vMerge w:val="continue"/>
            <w:tcBorders>
              <w:top w:val="single" w:color="000000" w:sz="4" w:space="0"/>
              <w:left w:val="single" w:color="000000" w:sz="4" w:space="0"/>
              <w:bottom w:val="single" w:color="000000" w:sz="4" w:space="0"/>
              <w:right w:val="single" w:color="000000" w:sz="4" w:space="0"/>
            </w:tcBorders>
            <w:shd w:val="clear" w:color="auto" w:fill="DBDBDB"/>
            <w:noWrap/>
            <w:vAlign w:val="center"/>
          </w:tcPr>
          <w:p w14:paraId="6C17AC48">
            <w:pPr>
              <w:jc w:val="center"/>
              <w:rPr>
                <w:rFonts w:hint="eastAsia" w:ascii="宋体" w:hAnsi="宋体" w:eastAsia="宋体" w:cs="宋体"/>
                <w:b/>
                <w:bCs/>
                <w:i w:val="0"/>
                <w:iCs w:val="0"/>
                <w:color w:val="000000"/>
                <w:sz w:val="22"/>
                <w:szCs w:val="22"/>
                <w:u w:val="none"/>
              </w:rPr>
            </w:pPr>
          </w:p>
        </w:tc>
        <w:tc>
          <w:tcPr>
            <w:tcW w:w="1566" w:type="pct"/>
            <w:vMerge w:val="continue"/>
            <w:tcBorders>
              <w:top w:val="single" w:color="000000" w:sz="4" w:space="0"/>
              <w:left w:val="single" w:color="000000" w:sz="4" w:space="0"/>
              <w:bottom w:val="single" w:color="000000" w:sz="4" w:space="0"/>
              <w:right w:val="single" w:color="000000" w:sz="4" w:space="0"/>
            </w:tcBorders>
            <w:shd w:val="clear" w:color="auto" w:fill="DBDBDB"/>
            <w:noWrap/>
            <w:vAlign w:val="center"/>
          </w:tcPr>
          <w:p w14:paraId="1BAACAC6">
            <w:pPr>
              <w:jc w:val="center"/>
              <w:rPr>
                <w:rFonts w:hint="eastAsia" w:ascii="宋体" w:hAnsi="宋体" w:eastAsia="宋体" w:cs="宋体"/>
                <w:b/>
                <w:bCs/>
                <w:i w:val="0"/>
                <w:iCs w:val="0"/>
                <w:color w:val="FF0000"/>
                <w:sz w:val="22"/>
                <w:szCs w:val="22"/>
                <w:u w:val="none"/>
              </w:rPr>
            </w:pPr>
          </w:p>
        </w:tc>
        <w:tc>
          <w:tcPr>
            <w:tcW w:w="260" w:type="pct"/>
            <w:tcBorders>
              <w:top w:val="single" w:color="000000" w:sz="4" w:space="0"/>
              <w:left w:val="single" w:color="000000" w:sz="4" w:space="0"/>
              <w:bottom w:val="single" w:color="000000" w:sz="4" w:space="0"/>
              <w:right w:val="single" w:color="000000" w:sz="4" w:space="0"/>
            </w:tcBorders>
            <w:shd w:val="clear" w:color="auto" w:fill="DBDBDB"/>
            <w:noWrap/>
            <w:vAlign w:val="center"/>
          </w:tcPr>
          <w:p w14:paraId="64388FA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总数</w:t>
            </w:r>
          </w:p>
        </w:tc>
        <w:tc>
          <w:tcPr>
            <w:tcW w:w="443" w:type="pct"/>
            <w:tcBorders>
              <w:top w:val="single" w:color="000000" w:sz="4" w:space="0"/>
              <w:left w:val="single" w:color="000000" w:sz="4" w:space="0"/>
              <w:bottom w:val="single" w:color="000000" w:sz="4" w:space="0"/>
              <w:right w:val="single" w:color="000000" w:sz="4" w:space="0"/>
            </w:tcBorders>
            <w:shd w:val="clear" w:color="auto" w:fill="DBDBDB"/>
            <w:noWrap/>
            <w:vAlign w:val="center"/>
          </w:tcPr>
          <w:p w14:paraId="2027928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其中财政拨款（元）</w:t>
            </w:r>
          </w:p>
        </w:tc>
        <w:tc>
          <w:tcPr>
            <w:tcW w:w="394" w:type="pct"/>
            <w:tcBorders>
              <w:top w:val="single" w:color="000000" w:sz="4" w:space="0"/>
              <w:left w:val="single" w:color="000000" w:sz="4" w:space="0"/>
              <w:bottom w:val="single" w:color="000000" w:sz="4" w:space="0"/>
              <w:right w:val="single" w:color="000000" w:sz="4" w:space="0"/>
            </w:tcBorders>
            <w:shd w:val="clear" w:color="auto" w:fill="DBDBDB"/>
            <w:noWrap/>
            <w:vAlign w:val="center"/>
          </w:tcPr>
          <w:p w14:paraId="2870245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其他资金（元）</w:t>
            </w:r>
          </w:p>
        </w:tc>
        <w:tc>
          <w:tcPr>
            <w:tcW w:w="331" w:type="pct"/>
            <w:tcBorders>
              <w:top w:val="single" w:color="000000" w:sz="4" w:space="0"/>
              <w:left w:val="single" w:color="000000" w:sz="4" w:space="0"/>
              <w:bottom w:val="single" w:color="000000" w:sz="4" w:space="0"/>
              <w:right w:val="single" w:color="000000" w:sz="4" w:space="0"/>
            </w:tcBorders>
            <w:shd w:val="clear" w:color="auto" w:fill="DBDBDB"/>
            <w:noWrap/>
            <w:vAlign w:val="center"/>
          </w:tcPr>
          <w:p w14:paraId="2698FF2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总数</w:t>
            </w:r>
          </w:p>
        </w:tc>
        <w:tc>
          <w:tcPr>
            <w:tcW w:w="455" w:type="pct"/>
            <w:tcBorders>
              <w:top w:val="single" w:color="000000" w:sz="4" w:space="0"/>
              <w:left w:val="single" w:color="000000" w:sz="4" w:space="0"/>
              <w:bottom w:val="single" w:color="000000" w:sz="4" w:space="0"/>
              <w:right w:val="single" w:color="000000" w:sz="4" w:space="0"/>
            </w:tcBorders>
            <w:shd w:val="clear" w:color="auto" w:fill="DBDBDB"/>
            <w:noWrap/>
            <w:vAlign w:val="center"/>
          </w:tcPr>
          <w:p w14:paraId="5826FF6E">
            <w:pPr>
              <w:keepNext w:val="0"/>
              <w:keepLines w:val="0"/>
              <w:widowControl/>
              <w:suppressLineNumbers w:val="0"/>
              <w:jc w:val="center"/>
              <w:textAlignment w:val="center"/>
              <w:rPr>
                <w:rFonts w:hint="eastAsia" w:ascii="宋体" w:hAnsi="宋体" w:eastAsia="宋体" w:cs="宋体"/>
                <w:b/>
                <w:bCs/>
                <w:i w:val="0"/>
                <w:iCs w:val="0"/>
                <w:color w:val="FF0000"/>
                <w:sz w:val="22"/>
                <w:szCs w:val="22"/>
                <w:u w:val="none"/>
              </w:rPr>
            </w:pPr>
            <w:r>
              <w:rPr>
                <w:rFonts w:hint="eastAsia" w:ascii="宋体" w:hAnsi="宋体" w:eastAsia="宋体" w:cs="宋体"/>
                <w:b/>
                <w:bCs/>
                <w:i w:val="0"/>
                <w:iCs w:val="0"/>
                <w:color w:val="FF0000"/>
                <w:kern w:val="0"/>
                <w:sz w:val="22"/>
                <w:szCs w:val="22"/>
                <w:u w:val="none"/>
                <w:lang w:val="en-US" w:eastAsia="zh-CN" w:bidi="ar"/>
              </w:rPr>
              <w:t>*</w:t>
            </w:r>
            <w:r>
              <w:rPr>
                <w:rFonts w:hint="eastAsia" w:ascii="宋体" w:hAnsi="宋体" w:eastAsia="宋体" w:cs="宋体"/>
                <w:b/>
                <w:bCs/>
                <w:i w:val="0"/>
                <w:iCs w:val="0"/>
                <w:color w:val="000000"/>
                <w:kern w:val="0"/>
                <w:sz w:val="22"/>
                <w:szCs w:val="22"/>
                <w:u w:val="none"/>
                <w:lang w:val="en-US" w:eastAsia="zh-CN" w:bidi="ar"/>
              </w:rPr>
              <w:t>其中财政拨款（元）</w:t>
            </w:r>
          </w:p>
        </w:tc>
        <w:tc>
          <w:tcPr>
            <w:tcW w:w="408" w:type="pct"/>
            <w:tcBorders>
              <w:top w:val="single" w:color="000000" w:sz="4" w:space="0"/>
              <w:left w:val="single" w:color="000000" w:sz="4" w:space="0"/>
              <w:bottom w:val="single" w:color="000000" w:sz="4" w:space="0"/>
              <w:right w:val="single" w:color="000000" w:sz="4" w:space="0"/>
            </w:tcBorders>
            <w:shd w:val="clear" w:color="auto" w:fill="DBDBDB"/>
            <w:noWrap/>
            <w:vAlign w:val="center"/>
          </w:tcPr>
          <w:p w14:paraId="6CFE1BA5">
            <w:pPr>
              <w:keepNext w:val="0"/>
              <w:keepLines w:val="0"/>
              <w:widowControl/>
              <w:suppressLineNumbers w:val="0"/>
              <w:jc w:val="center"/>
              <w:textAlignment w:val="center"/>
              <w:rPr>
                <w:rFonts w:hint="eastAsia" w:ascii="宋体" w:hAnsi="宋体" w:eastAsia="宋体" w:cs="宋体"/>
                <w:b/>
                <w:bCs/>
                <w:i w:val="0"/>
                <w:iCs w:val="0"/>
                <w:color w:val="FF0000"/>
                <w:sz w:val="22"/>
                <w:szCs w:val="22"/>
                <w:u w:val="none"/>
              </w:rPr>
            </w:pPr>
            <w:r>
              <w:rPr>
                <w:rFonts w:hint="eastAsia" w:ascii="宋体" w:hAnsi="宋体" w:eastAsia="宋体" w:cs="宋体"/>
                <w:b/>
                <w:bCs/>
                <w:i w:val="0"/>
                <w:iCs w:val="0"/>
                <w:color w:val="FF0000"/>
                <w:kern w:val="0"/>
                <w:sz w:val="22"/>
                <w:szCs w:val="22"/>
                <w:u w:val="none"/>
                <w:lang w:val="en-US" w:eastAsia="zh-CN" w:bidi="ar"/>
              </w:rPr>
              <w:t>*</w:t>
            </w:r>
            <w:r>
              <w:rPr>
                <w:rFonts w:hint="eastAsia" w:ascii="宋体" w:hAnsi="宋体" w:eastAsia="宋体" w:cs="宋体"/>
                <w:b/>
                <w:bCs/>
                <w:i w:val="0"/>
                <w:iCs w:val="0"/>
                <w:color w:val="000000"/>
                <w:kern w:val="0"/>
                <w:sz w:val="22"/>
                <w:szCs w:val="22"/>
                <w:u w:val="none"/>
                <w:lang w:val="en-US" w:eastAsia="zh-CN" w:bidi="ar"/>
              </w:rPr>
              <w:t>其他资金（元）</w:t>
            </w:r>
          </w:p>
        </w:tc>
      </w:tr>
      <w:tr w14:paraId="7A748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7E2C4CF">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教育教学支出</w:t>
            </w: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A1C0F2D">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主要用于完善课程设置体系，打造教学管理体系，打磨学生学习品质，为学生提供多元化的发展路径，注重因材施教，鼓励学生全面发展自主发展，为此学校将持续开展各类教育教学活动</w:t>
            </w:r>
          </w:p>
        </w:tc>
        <w:tc>
          <w:tcPr>
            <w:tcW w:w="15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B793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为教育教学提供了稳定的经济保障，提高教育质量和教学效果，完善课程设置体系，打造教学管理体系，打磨学生学习品质，学校开展各类教育教学活动为学生提供多元化的发展路径，组织开展涵盖“安全教育”、“法制教育”、“国防教育”、“诚信教育”、“生命教育”、“感恩教育”、“爱国主义教育”、“传统文化教育”、“文明礼仪教育”等内容的德育主题教育，激发了同学们的进取心、仁爱心、自信心，锻造了同学们的耐受力及自律性，厚植了家国情怀，提升了生命意识、法制意识，激励每一位同学努力争做文明高雅、积极进取的深实高中园学子。购买了新的教学设备、更新教材、提升教学环境等，提高教育质量，学校制定了明确细致的集体教研制度，强调了集体备课定时、定点、定人、定主题的“四定”工作要求，开展了形式多样、卓有成效的集体备课活动，课组对常规课堂教学重难点、作业布置、培优周测日练命题、试卷讲评的分层次实施有效教学的精确定位，本学期，以高考学科为主体的基础学科模块分类课程和以美术、音乐、体育学科为试点的综合类模块课程全面铺开，模块自选，全员必修，循环往复的形式，为学生提供了多元化、个性化的选择。本学期基础学科模块分类课程共开设4期，共计33个学科教学模块，每个教学模块含基础，培优，拔尖三个层次的模块课程。打造以导师引领为实施方式，以深度钻研、培养尖端人才为目标的系列课程，为特长学生拓宽升学路径；以师生双向互选为原则，为学业优秀同学配备导师，提供个性化的生涯规划、心理咨询、学业辅导、成长记录等订制课程。</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4C9A1">
            <w:pPr>
              <w:keepNext w:val="0"/>
              <w:keepLines w:val="0"/>
              <w:widowControl/>
              <w:suppressLineNumbers w:val="0"/>
              <w:jc w:val="righ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386766.72</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E9421">
            <w:pPr>
              <w:keepNext w:val="0"/>
              <w:keepLines w:val="0"/>
              <w:widowControl/>
              <w:suppressLineNumbers w:val="0"/>
              <w:jc w:val="righ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386766.72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59FDE">
            <w:pPr>
              <w:keepNext w:val="0"/>
              <w:keepLines w:val="0"/>
              <w:widowControl/>
              <w:suppressLineNumbers w:val="0"/>
              <w:jc w:val="righ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44789">
            <w:pPr>
              <w:keepNext w:val="0"/>
              <w:keepLines w:val="0"/>
              <w:widowControl/>
              <w:suppressLineNumbers w:val="0"/>
              <w:jc w:val="righ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378485.52</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4A563">
            <w:pPr>
              <w:keepNext w:val="0"/>
              <w:keepLines w:val="0"/>
              <w:widowControl/>
              <w:suppressLineNumbers w:val="0"/>
              <w:jc w:val="righ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378485.52</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53348">
            <w:pPr>
              <w:keepNext w:val="0"/>
              <w:keepLines w:val="0"/>
              <w:widowControl/>
              <w:suppressLineNumbers w:val="0"/>
              <w:jc w:val="righ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0.00 </w:t>
            </w:r>
          </w:p>
        </w:tc>
      </w:tr>
      <w:tr w14:paraId="6BB8A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134C084">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基本支出 </w:t>
            </w: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4306739">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主要用于人员及公用经费的支出 </w:t>
            </w:r>
          </w:p>
        </w:tc>
        <w:tc>
          <w:tcPr>
            <w:tcW w:w="15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A5BE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保障了全年在职人员经费、机构公用经费及增人增资支出.</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7E237">
            <w:pPr>
              <w:keepNext w:val="0"/>
              <w:keepLines w:val="0"/>
              <w:widowControl/>
              <w:suppressLineNumbers w:val="0"/>
              <w:jc w:val="righ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138743.46</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E65C1">
            <w:pPr>
              <w:keepNext w:val="0"/>
              <w:keepLines w:val="0"/>
              <w:widowControl/>
              <w:suppressLineNumbers w:val="0"/>
              <w:jc w:val="righ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138743.46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64ECF">
            <w:pPr>
              <w:keepNext w:val="0"/>
              <w:keepLines w:val="0"/>
              <w:widowControl/>
              <w:suppressLineNumbers w:val="0"/>
              <w:jc w:val="righ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A7C45">
            <w:pPr>
              <w:keepNext w:val="0"/>
              <w:keepLines w:val="0"/>
              <w:widowControl/>
              <w:suppressLineNumbers w:val="0"/>
              <w:jc w:val="righ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137799.71</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66EE6">
            <w:pPr>
              <w:keepNext w:val="0"/>
              <w:keepLines w:val="0"/>
              <w:widowControl/>
              <w:suppressLineNumbers w:val="0"/>
              <w:jc w:val="righ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137799.71 </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ADA0E">
            <w:pPr>
              <w:keepNext w:val="0"/>
              <w:keepLines w:val="0"/>
              <w:widowControl/>
              <w:suppressLineNumbers w:val="0"/>
              <w:jc w:val="righ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0.00 </w:t>
            </w:r>
          </w:p>
        </w:tc>
      </w:tr>
      <w:tr w14:paraId="5F7C8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66D3E03">
            <w:pP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36212C4">
            <w:pPr>
              <w:rPr>
                <w:rFonts w:hint="eastAsia" w:ascii="等线" w:hAnsi="等线" w:eastAsia="等线" w:cs="等线"/>
                <w:i w:val="0"/>
                <w:iCs w:val="0"/>
                <w:color w:val="000000"/>
                <w:sz w:val="22"/>
                <w:szCs w:val="22"/>
                <w:u w:val="none"/>
              </w:rPr>
            </w:pPr>
          </w:p>
        </w:tc>
        <w:tc>
          <w:tcPr>
            <w:tcW w:w="15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5C443">
            <w:pPr>
              <w:jc w:val="center"/>
              <w:rPr>
                <w:rFonts w:hint="eastAsia" w:ascii="等线" w:hAnsi="等线" w:eastAsia="等线" w:cs="等线"/>
                <w:i w:val="0"/>
                <w:iCs w:val="0"/>
                <w:color w:val="000000"/>
                <w:sz w:val="22"/>
                <w:szCs w:val="22"/>
                <w:u w:val="none"/>
              </w:rPr>
            </w:pP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1B705">
            <w:pPr>
              <w:keepNext w:val="0"/>
              <w:keepLines w:val="0"/>
              <w:widowControl/>
              <w:suppressLineNumbers w:val="0"/>
              <w:jc w:val="righ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525510.18</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9B288">
            <w:pPr>
              <w:keepNext w:val="0"/>
              <w:keepLines w:val="0"/>
              <w:widowControl/>
              <w:suppressLineNumbers w:val="0"/>
              <w:jc w:val="righ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525510.18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62A24">
            <w:pPr>
              <w:jc w:val="right"/>
              <w:rPr>
                <w:rFonts w:hint="eastAsia" w:ascii="等线" w:hAnsi="等线" w:eastAsia="等线" w:cs="等线"/>
                <w:i w:val="0"/>
                <w:iCs w:val="0"/>
                <w:color w:val="000000"/>
                <w:sz w:val="22"/>
                <w:szCs w:val="22"/>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4B0BA">
            <w:pPr>
              <w:keepNext w:val="0"/>
              <w:keepLines w:val="0"/>
              <w:widowControl/>
              <w:suppressLineNumbers w:val="0"/>
              <w:jc w:val="righ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516285.23</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46FBC">
            <w:pPr>
              <w:keepNext w:val="0"/>
              <w:keepLines w:val="0"/>
              <w:widowControl/>
              <w:suppressLineNumbers w:val="0"/>
              <w:jc w:val="righ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516285.23</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0C9FB">
            <w:pPr>
              <w:jc w:val="right"/>
              <w:rPr>
                <w:rFonts w:hint="eastAsia" w:ascii="等线" w:hAnsi="等线" w:eastAsia="等线" w:cs="等线"/>
                <w:i w:val="0"/>
                <w:iCs w:val="0"/>
                <w:color w:val="000000"/>
                <w:sz w:val="22"/>
                <w:szCs w:val="22"/>
                <w:u w:val="none"/>
              </w:rPr>
            </w:pPr>
          </w:p>
        </w:tc>
      </w:tr>
      <w:tr w14:paraId="54C2A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966" w:type="pct"/>
            <w:gridSpan w:val="4"/>
            <w:tcBorders>
              <w:top w:val="single" w:color="000000" w:sz="4" w:space="0"/>
              <w:left w:val="single" w:color="000000" w:sz="4" w:space="0"/>
              <w:bottom w:val="single" w:color="000000" w:sz="4" w:space="0"/>
              <w:right w:val="single" w:color="000000" w:sz="4" w:space="0"/>
            </w:tcBorders>
            <w:shd w:val="clear" w:color="auto" w:fill="DBDBDB"/>
            <w:noWrap/>
            <w:vAlign w:val="center"/>
          </w:tcPr>
          <w:p w14:paraId="58BFA20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预期目标</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DBDBDB"/>
            <w:noWrap/>
            <w:vAlign w:val="center"/>
          </w:tcPr>
          <w:p w14:paraId="7F8C9F1B">
            <w:pPr>
              <w:keepNext w:val="0"/>
              <w:keepLines w:val="0"/>
              <w:widowControl/>
              <w:suppressLineNumbers w:val="0"/>
              <w:jc w:val="center"/>
              <w:textAlignment w:val="center"/>
              <w:rPr>
                <w:rFonts w:hint="eastAsia" w:ascii="宋体" w:hAnsi="宋体" w:eastAsia="宋体" w:cs="宋体"/>
                <w:b/>
                <w:bCs/>
                <w:i w:val="0"/>
                <w:iCs w:val="0"/>
                <w:color w:val="FF0000"/>
                <w:sz w:val="22"/>
                <w:szCs w:val="22"/>
                <w:u w:val="none"/>
              </w:rPr>
            </w:pPr>
            <w:r>
              <w:rPr>
                <w:rFonts w:hint="eastAsia" w:ascii="宋体" w:hAnsi="宋体" w:eastAsia="宋体" w:cs="宋体"/>
                <w:b/>
                <w:bCs/>
                <w:i w:val="0"/>
                <w:iCs w:val="0"/>
                <w:color w:val="FF0000"/>
                <w:kern w:val="0"/>
                <w:sz w:val="22"/>
                <w:szCs w:val="22"/>
                <w:u w:val="none"/>
                <w:lang w:val="en-US" w:eastAsia="zh-CN" w:bidi="ar"/>
              </w:rPr>
              <w:t>*目标完成实际情况</w:t>
            </w:r>
          </w:p>
        </w:tc>
      </w:tr>
      <w:tr w14:paraId="43C47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966" w:type="pct"/>
            <w:gridSpan w:val="4"/>
            <w:tcBorders>
              <w:top w:val="single" w:color="000000" w:sz="4" w:space="0"/>
              <w:left w:val="single" w:color="000000" w:sz="4" w:space="0"/>
              <w:bottom w:val="single" w:color="000000" w:sz="4" w:space="0"/>
              <w:right w:val="single" w:color="000000" w:sz="4" w:space="0"/>
            </w:tcBorders>
            <w:shd w:val="clear" w:color="auto" w:fill="D9D9D9"/>
            <w:vAlign w:val="center"/>
          </w:tcPr>
          <w:p w14:paraId="544FDB40">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通过加强高中学生非教学时段的管理，为学生提供良好的学习生活环境，开展教师研修培训活动，强化教师素质，提升教师专业能力，对学校建筑物及构筑物进行日常维修保养，及时对学校故障设施进行维修，保障校园安全。</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本年度以高标准办学为指导思想，狠抓教学、注重教师成长，完善课程设置体系，打造教学管理体系，打磨学生学习品质，为学生提供多元化的发展路径，注重因材施教，鼓励学生全面发展自主发展，为此学校将持续开展各类教育教学活动。</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通过完成设备设施采购，设备安装验收合格，提升校园环境，提高师生满意度。</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8D4AB">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2022年-2023年先后面向全国组织四批骨干教师招聘，引进了一大批境界高、能力强，学科骨干教师，全体新入职应届毕业生班主任参加市级班主任培训，举行年级主任、班主任拜授仪式，首届班主任技能大赛。为加快学生自主管理模式的建立，发挥学生干部的示范引领作用，学校积极推进团委建设及学生干部培养，组建了第一批学生干部团队和学生义工联，组织学生干部及学生志愿者积极参与学校的常规管理、电梯服务及午餐队列管理等，不断提升学校德育管理水平和质量。明确细致的集体教研制度，强调了集体备课定时、定点、定人、定主题的“四定”工作要求，开展了形式多样、卓有成效的集体备课活动。学校有效落实新生教育月活动课程，组织开展包括校园常规学习、安全主题教育、文明礼仪教育、心理健康教育、学法指导讲座、队列跑操训练、广播操评比、班级文化展示评比、常规优秀学生及优秀住宿生评比、阶段考试表彰在内的系列活动，不断强化学生的规则意识，提升学生的自我管理能力，助力学生快速适应高中学习生活，完成了新建学校的设施设备的项目采购计划，加强深圳实验高中学校设施、设备、建筑物及构筑物进行日常管养维护，及时对学校故障设施进行维修，排除校园安全隐患，提升校园环境，提高师生满意度。    </w:t>
            </w:r>
          </w:p>
        </w:tc>
      </w:tr>
      <w:tr w14:paraId="1E8F3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DBDBDB"/>
            <w:noWrap/>
            <w:vAlign w:val="center"/>
          </w:tcPr>
          <w:p w14:paraId="43FE5A7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一级指标</w:t>
            </w:r>
          </w:p>
        </w:tc>
        <w:tc>
          <w:tcPr>
            <w:tcW w:w="952" w:type="pct"/>
            <w:tcBorders>
              <w:top w:val="single" w:color="000000" w:sz="4" w:space="0"/>
              <w:left w:val="single" w:color="000000" w:sz="4" w:space="0"/>
              <w:bottom w:val="single" w:color="000000" w:sz="4" w:space="0"/>
              <w:right w:val="single" w:color="000000" w:sz="4" w:space="0"/>
            </w:tcBorders>
            <w:shd w:val="clear" w:color="auto" w:fill="DBDBDB"/>
            <w:noWrap/>
            <w:vAlign w:val="center"/>
          </w:tcPr>
          <w:p w14:paraId="54A63E0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二级指标</w:t>
            </w:r>
          </w:p>
        </w:tc>
        <w:tc>
          <w:tcPr>
            <w:tcW w:w="1566" w:type="pct"/>
            <w:tcBorders>
              <w:top w:val="single" w:color="000000" w:sz="4" w:space="0"/>
              <w:left w:val="single" w:color="000000" w:sz="4" w:space="0"/>
              <w:bottom w:val="single" w:color="000000" w:sz="4" w:space="0"/>
              <w:right w:val="single" w:color="000000" w:sz="4" w:space="0"/>
            </w:tcBorders>
            <w:shd w:val="clear" w:color="auto" w:fill="DBDBDB"/>
            <w:noWrap/>
            <w:vAlign w:val="center"/>
          </w:tcPr>
          <w:p w14:paraId="590807C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三级指标</w:t>
            </w:r>
          </w:p>
        </w:tc>
        <w:tc>
          <w:tcPr>
            <w:tcW w:w="260" w:type="pct"/>
            <w:tcBorders>
              <w:top w:val="single" w:color="000000" w:sz="4" w:space="0"/>
              <w:left w:val="single" w:color="000000" w:sz="4" w:space="0"/>
              <w:bottom w:val="single" w:color="000000" w:sz="4" w:space="0"/>
              <w:right w:val="single" w:color="000000" w:sz="4" w:space="0"/>
            </w:tcBorders>
            <w:shd w:val="clear" w:color="auto" w:fill="DBDBDB"/>
            <w:noWrap/>
            <w:vAlign w:val="center"/>
          </w:tcPr>
          <w:p w14:paraId="326FE34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指标值</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DBDBDB"/>
            <w:noWrap/>
            <w:vAlign w:val="center"/>
          </w:tcPr>
          <w:p w14:paraId="48D48E30">
            <w:pPr>
              <w:keepNext w:val="0"/>
              <w:keepLines w:val="0"/>
              <w:widowControl/>
              <w:suppressLineNumbers w:val="0"/>
              <w:jc w:val="center"/>
              <w:textAlignment w:val="center"/>
              <w:rPr>
                <w:rFonts w:hint="eastAsia" w:ascii="宋体" w:hAnsi="宋体" w:eastAsia="宋体" w:cs="宋体"/>
                <w:b/>
                <w:bCs/>
                <w:i w:val="0"/>
                <w:iCs w:val="0"/>
                <w:color w:val="FF0000"/>
                <w:sz w:val="22"/>
                <w:szCs w:val="22"/>
                <w:u w:val="none"/>
              </w:rPr>
            </w:pPr>
            <w:r>
              <w:rPr>
                <w:rFonts w:hint="eastAsia" w:ascii="宋体" w:hAnsi="宋体" w:eastAsia="宋体" w:cs="宋体"/>
                <w:b/>
                <w:bCs/>
                <w:i w:val="0"/>
                <w:iCs w:val="0"/>
                <w:color w:val="FF0000"/>
                <w:kern w:val="0"/>
                <w:sz w:val="22"/>
                <w:szCs w:val="22"/>
                <w:u w:val="none"/>
                <w:lang w:val="en-US" w:eastAsia="zh-CN" w:bidi="ar"/>
              </w:rPr>
              <w:t>*实际完成指标值</w:t>
            </w:r>
          </w:p>
        </w:tc>
      </w:tr>
      <w:tr w14:paraId="57939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87" w:type="pct"/>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4D0A2F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产出指标</w:t>
            </w: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992175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数量指标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3DD32E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高中学生管理人数</w:t>
            </w: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592BD5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寄宿高中按80:1配备管理人员</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0CAA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w:t>
            </w:r>
          </w:p>
        </w:tc>
      </w:tr>
      <w:tr w14:paraId="49A86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4D2BAA1">
            <w:pPr>
              <w:jc w:val="cente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B7BD63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数量指标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367766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教师研修培训</w:t>
            </w: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81A2A7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≥2次</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0FC8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r>
      <w:tr w14:paraId="47206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3E96FD5">
            <w:pPr>
              <w:jc w:val="cente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DDE8B3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数量指标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732D7E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定期对学校建筑物构筑物保养检查</w:t>
            </w: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7F6B0C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≥2次/年</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BA70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r>
      <w:tr w14:paraId="0D462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91110FE">
            <w:pPr>
              <w:jc w:val="cente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F6161D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数量指标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F4536C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科组教学学科科研</w:t>
            </w: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F9FB05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≥2次/科组/年</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7F52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r>
      <w:tr w14:paraId="0CC0D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6A6FE09">
            <w:pPr>
              <w:jc w:val="cente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53676F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数量指标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DE4422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教师培训次数</w:t>
            </w: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18EDC4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≥2次/人/年</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7F33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r>
      <w:tr w14:paraId="6DB9B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B5E4DC0">
            <w:pPr>
              <w:jc w:val="cente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52984C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数量指标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081196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实施计划完成率</w:t>
            </w: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689561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D115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w:t>
            </w:r>
          </w:p>
        </w:tc>
      </w:tr>
      <w:tr w14:paraId="0CB2E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48E8F8F">
            <w:pPr>
              <w:jc w:val="cente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AF6F74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数量指标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058732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设备交付率</w:t>
            </w: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D21ACF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18C3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w:t>
            </w:r>
          </w:p>
        </w:tc>
      </w:tr>
      <w:tr w14:paraId="39F3D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D2B5B69">
            <w:pPr>
              <w:jc w:val="cente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F251FE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数量指标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3C339F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项目预算执行率</w:t>
            </w: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CF7C8C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683E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w:t>
            </w:r>
          </w:p>
        </w:tc>
      </w:tr>
      <w:tr w14:paraId="51D63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D11DB61">
            <w:pPr>
              <w:jc w:val="cente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F00187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数量指标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DCF523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设备设施购置完成率</w:t>
            </w: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A45D6E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D5B4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w:t>
            </w:r>
          </w:p>
        </w:tc>
      </w:tr>
      <w:tr w14:paraId="171DC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02E2D32">
            <w:pPr>
              <w:jc w:val="cente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B21BDD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质量指标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6C0C88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安全事故率</w:t>
            </w: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C68281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2283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0%</w:t>
            </w:r>
          </w:p>
        </w:tc>
      </w:tr>
      <w:tr w14:paraId="5913D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ECA0C91">
            <w:pPr>
              <w:jc w:val="cente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DE864B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质量指标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E69AF9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专任教师专业合格率</w:t>
            </w: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93B335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0.9</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1C34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99%</w:t>
            </w:r>
          </w:p>
        </w:tc>
      </w:tr>
      <w:tr w14:paraId="48CC1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A85F138">
            <w:pPr>
              <w:jc w:val="cente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CCD1E7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质量指标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5770EE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学校建筑物及构筑物进行日常二次维修率</w:t>
            </w: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EA0F15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C267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r>
      <w:tr w14:paraId="39125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2BDDD9D">
            <w:pPr>
              <w:jc w:val="cente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0FC562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质量指标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869C9E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学生全面发展性</w:t>
            </w: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A279B8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100%参加课余活动比例</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B7A2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w:t>
            </w:r>
          </w:p>
        </w:tc>
      </w:tr>
      <w:tr w14:paraId="19F38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CC596DF">
            <w:pPr>
              <w:jc w:val="cente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302822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质量指标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2C84BB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施工单位资质达标</w:t>
            </w: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4752FF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达标</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1723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达标</w:t>
            </w:r>
          </w:p>
        </w:tc>
      </w:tr>
      <w:tr w14:paraId="1F84F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E66F809">
            <w:pPr>
              <w:jc w:val="cente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3CCD13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质量指标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28C776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采购设备验收合格率</w:t>
            </w: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29693C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6360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w:t>
            </w:r>
          </w:p>
        </w:tc>
      </w:tr>
      <w:tr w14:paraId="4A3E2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0FB3505">
            <w:pPr>
              <w:jc w:val="cente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C89293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质量指标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D7E904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项目完成质量情况</w:t>
            </w: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7A7E68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8B34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w:t>
            </w:r>
          </w:p>
        </w:tc>
      </w:tr>
      <w:tr w14:paraId="79820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1426064">
            <w:pPr>
              <w:jc w:val="cente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854830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时效指标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2915AD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教育教学工作及教育费附加项目完成时间</w:t>
            </w: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678740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12月底之前</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60BB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完成</w:t>
            </w:r>
          </w:p>
        </w:tc>
      </w:tr>
      <w:tr w14:paraId="20A3B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4E0CAF0">
            <w:pPr>
              <w:jc w:val="cente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B56A4C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时效指标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D27123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项目完成及时率</w:t>
            </w: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BC15B6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E6F8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w:t>
            </w:r>
          </w:p>
        </w:tc>
      </w:tr>
      <w:tr w14:paraId="3B89E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C4D8802">
            <w:pPr>
              <w:jc w:val="cente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B6B137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成本指标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13F5CE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成本控制率</w:t>
            </w: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B7A445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7894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w:t>
            </w:r>
          </w:p>
        </w:tc>
      </w:tr>
      <w:tr w14:paraId="144E3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87" w:type="pct"/>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1A5BB9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效益指标</w:t>
            </w: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E453F3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经济效益指标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A764BDE">
            <w:pPr>
              <w:jc w:val="center"/>
              <w:rPr>
                <w:rFonts w:hint="eastAsia" w:ascii="等线" w:hAnsi="等线" w:eastAsia="等线" w:cs="等线"/>
                <w:i w:val="0"/>
                <w:iCs w:val="0"/>
                <w:color w:val="000000"/>
                <w:sz w:val="22"/>
                <w:szCs w:val="22"/>
                <w:u w:val="none"/>
              </w:rPr>
            </w:pP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CF5C120">
            <w:pPr>
              <w:jc w:val="center"/>
              <w:rPr>
                <w:rFonts w:hint="eastAsia" w:ascii="等线" w:hAnsi="等线" w:eastAsia="等线" w:cs="等线"/>
                <w:i w:val="0"/>
                <w:iCs w:val="0"/>
                <w:color w:val="000000"/>
                <w:sz w:val="22"/>
                <w:szCs w:val="22"/>
                <w:u w:val="none"/>
              </w:rPr>
            </w:pP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22EE0">
            <w:pPr>
              <w:jc w:val="center"/>
              <w:rPr>
                <w:rFonts w:hint="eastAsia" w:ascii="等线" w:hAnsi="等线" w:eastAsia="等线" w:cs="等线"/>
                <w:i w:val="0"/>
                <w:iCs w:val="0"/>
                <w:color w:val="000000"/>
                <w:sz w:val="22"/>
                <w:szCs w:val="22"/>
                <w:u w:val="none"/>
              </w:rPr>
            </w:pPr>
          </w:p>
        </w:tc>
      </w:tr>
      <w:tr w14:paraId="7235E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86CB548">
            <w:pPr>
              <w:jc w:val="cente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D5309B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社会效益指标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8846F5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系统正常运行率</w:t>
            </w: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0DFE3D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≥95%</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D524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w:t>
            </w:r>
          </w:p>
        </w:tc>
      </w:tr>
      <w:tr w14:paraId="4B682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279F7EC">
            <w:pPr>
              <w:jc w:val="cente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3AE1F8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生态效益指标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61463DD">
            <w:pPr>
              <w:jc w:val="center"/>
              <w:rPr>
                <w:rFonts w:hint="eastAsia" w:ascii="等线" w:hAnsi="等线" w:eastAsia="等线" w:cs="等线"/>
                <w:i w:val="0"/>
                <w:iCs w:val="0"/>
                <w:color w:val="000000"/>
                <w:sz w:val="22"/>
                <w:szCs w:val="22"/>
                <w:u w:val="none"/>
              </w:rPr>
            </w:pP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525ABC4">
            <w:pPr>
              <w:jc w:val="center"/>
              <w:rPr>
                <w:rFonts w:hint="eastAsia" w:ascii="等线" w:hAnsi="等线" w:eastAsia="等线" w:cs="等线"/>
                <w:i w:val="0"/>
                <w:iCs w:val="0"/>
                <w:color w:val="000000"/>
                <w:sz w:val="22"/>
                <w:szCs w:val="22"/>
                <w:u w:val="none"/>
              </w:rPr>
            </w:pP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AC30C">
            <w:pPr>
              <w:jc w:val="center"/>
              <w:rPr>
                <w:rFonts w:hint="eastAsia" w:ascii="等线" w:hAnsi="等线" w:eastAsia="等线" w:cs="等线"/>
                <w:i w:val="0"/>
                <w:iCs w:val="0"/>
                <w:color w:val="000000"/>
                <w:sz w:val="22"/>
                <w:szCs w:val="22"/>
                <w:u w:val="none"/>
              </w:rPr>
            </w:pPr>
          </w:p>
        </w:tc>
      </w:tr>
      <w:tr w14:paraId="22AD2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F7AD6BE">
            <w:pPr>
              <w:jc w:val="cente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C560DD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可持续影响指标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C75D6F8">
            <w:pPr>
              <w:jc w:val="center"/>
              <w:rPr>
                <w:rFonts w:hint="eastAsia" w:ascii="等线" w:hAnsi="等线" w:eastAsia="等线" w:cs="等线"/>
                <w:i w:val="0"/>
                <w:iCs w:val="0"/>
                <w:color w:val="000000"/>
                <w:sz w:val="22"/>
                <w:szCs w:val="22"/>
                <w:u w:val="none"/>
              </w:rPr>
            </w:pP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113DA00">
            <w:pPr>
              <w:jc w:val="center"/>
              <w:rPr>
                <w:rFonts w:hint="eastAsia" w:ascii="等线" w:hAnsi="等线" w:eastAsia="等线" w:cs="等线"/>
                <w:i w:val="0"/>
                <w:iCs w:val="0"/>
                <w:color w:val="000000"/>
                <w:sz w:val="22"/>
                <w:szCs w:val="22"/>
                <w:u w:val="none"/>
              </w:rPr>
            </w:pP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5E024">
            <w:pPr>
              <w:jc w:val="center"/>
              <w:rPr>
                <w:rFonts w:hint="eastAsia" w:ascii="等线" w:hAnsi="等线" w:eastAsia="等线" w:cs="等线"/>
                <w:i w:val="0"/>
                <w:iCs w:val="0"/>
                <w:color w:val="000000"/>
                <w:sz w:val="22"/>
                <w:szCs w:val="22"/>
                <w:u w:val="none"/>
              </w:rPr>
            </w:pPr>
          </w:p>
        </w:tc>
      </w:tr>
      <w:tr w14:paraId="526C1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87" w:type="pct"/>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5A0C50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满意度指标</w:t>
            </w: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EFD84E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服务对象满意度指标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43CF8B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学生家长满意度</w:t>
            </w: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CB1BB2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≥90%</w:t>
            </w: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EFDC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99%</w:t>
            </w:r>
          </w:p>
        </w:tc>
      </w:tr>
      <w:tr w14:paraId="1C95E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87"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A4AA506">
            <w:pPr>
              <w:jc w:val="center"/>
              <w:rPr>
                <w:rFonts w:hint="eastAsia" w:ascii="等线" w:hAnsi="等线" w:eastAsia="等线" w:cs="等线"/>
                <w:i w:val="0"/>
                <w:iCs w:val="0"/>
                <w:color w:val="000000"/>
                <w:sz w:val="22"/>
                <w:szCs w:val="22"/>
                <w:u w:val="none"/>
              </w:rPr>
            </w:pPr>
          </w:p>
        </w:tc>
        <w:tc>
          <w:tcPr>
            <w:tcW w:w="95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E629FD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其他满意度指标</w:t>
            </w:r>
          </w:p>
        </w:tc>
        <w:tc>
          <w:tcPr>
            <w:tcW w:w="156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FEF41D0">
            <w:pPr>
              <w:jc w:val="center"/>
              <w:rPr>
                <w:rFonts w:hint="eastAsia" w:ascii="等线" w:hAnsi="等线" w:eastAsia="等线" w:cs="等线"/>
                <w:i w:val="0"/>
                <w:iCs w:val="0"/>
                <w:color w:val="000000"/>
                <w:sz w:val="22"/>
                <w:szCs w:val="22"/>
                <w:u w:val="none"/>
              </w:rPr>
            </w:pPr>
          </w:p>
        </w:tc>
        <w:tc>
          <w:tcPr>
            <w:tcW w:w="26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51292AE">
            <w:pPr>
              <w:jc w:val="center"/>
              <w:rPr>
                <w:rFonts w:hint="eastAsia" w:ascii="等线" w:hAnsi="等线" w:eastAsia="等线" w:cs="等线"/>
                <w:i w:val="0"/>
                <w:iCs w:val="0"/>
                <w:color w:val="000000"/>
                <w:sz w:val="22"/>
                <w:szCs w:val="22"/>
                <w:u w:val="none"/>
              </w:rPr>
            </w:pPr>
          </w:p>
        </w:tc>
        <w:tc>
          <w:tcPr>
            <w:tcW w:w="20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DA2E7">
            <w:pPr>
              <w:jc w:val="center"/>
              <w:rPr>
                <w:rFonts w:hint="eastAsia" w:ascii="等线" w:hAnsi="等线" w:eastAsia="等线" w:cs="等线"/>
                <w:i w:val="0"/>
                <w:iCs w:val="0"/>
                <w:color w:val="000000"/>
                <w:sz w:val="22"/>
                <w:szCs w:val="22"/>
                <w:u w:val="none"/>
              </w:rPr>
            </w:pPr>
          </w:p>
        </w:tc>
      </w:tr>
    </w:tbl>
    <w:p w14:paraId="2A7D338F">
      <w:pPr>
        <w:snapToGrid w:val="0"/>
        <w:spacing w:line="580" w:lineRule="exact"/>
        <w:rPr>
          <w:rFonts w:hint="eastAsia" w:ascii="仿宋_GB2312" w:eastAsia="仿宋_GB2312"/>
          <w:sz w:val="32"/>
          <w:szCs w:val="32"/>
          <w:lang w:val="en-US" w:eastAsia="zh-CN"/>
        </w:rPr>
        <w:sectPr>
          <w:footerReference r:id="rId3" w:type="default"/>
          <w:pgSz w:w="11906" w:h="16838"/>
          <w:pgMar w:top="1440" w:right="1800" w:bottom="1440" w:left="1800" w:header="851" w:footer="992" w:gutter="0"/>
          <w:cols w:space="425" w:num="1"/>
          <w:docGrid w:type="lines" w:linePitch="312" w:charSpace="0"/>
        </w:sectPr>
      </w:pPr>
      <w:bookmarkStart w:id="0" w:name="_GoBack"/>
      <w:bookmarkEnd w:id="0"/>
    </w:p>
    <w:p w14:paraId="7014569B">
      <w:pPr>
        <w:tabs>
          <w:tab w:val="center" w:pos="6979"/>
        </w:tabs>
        <w:spacing w:line="620" w:lineRule="exact"/>
        <w:jc w:val="center"/>
        <w:rPr>
          <w:rFonts w:hint="eastAsia" w:ascii="方正小标宋简体" w:eastAsia="方正小标宋简体" w:cs="方正小标宋简体"/>
          <w:sz w:val="30"/>
          <w:szCs w:val="30"/>
        </w:rPr>
      </w:pPr>
      <w:r>
        <w:rPr>
          <w:rFonts w:hint="eastAsia" w:ascii="方正小标宋简体" w:eastAsia="方正小标宋简体" w:cs="方正小标宋简体"/>
          <w:sz w:val="30"/>
          <w:szCs w:val="30"/>
        </w:rPr>
        <w:t>部门整体支出绩效评分表</w:t>
      </w:r>
    </w:p>
    <w:tbl>
      <w:tblPr>
        <w:tblStyle w:val="6"/>
        <w:tblW w:w="1445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93"/>
        <w:gridCol w:w="377"/>
        <w:gridCol w:w="1067"/>
        <w:gridCol w:w="333"/>
        <w:gridCol w:w="1050"/>
        <w:gridCol w:w="1533"/>
        <w:gridCol w:w="950"/>
        <w:gridCol w:w="1682"/>
        <w:gridCol w:w="1268"/>
        <w:gridCol w:w="4667"/>
        <w:gridCol w:w="1061"/>
        <w:gridCol w:w="378"/>
      </w:tblGrid>
      <w:tr w14:paraId="37547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gridAfter w:val="1"/>
          <w:wBefore w:w="93" w:type="dxa"/>
          <w:wAfter w:w="378" w:type="dxa"/>
          <w:trHeight w:val="467" w:hRule="atLeast"/>
        </w:trPr>
        <w:tc>
          <w:tcPr>
            <w:tcW w:w="5310" w:type="dxa"/>
            <w:gridSpan w:val="6"/>
            <w:tcBorders>
              <w:top w:val="single" w:color="000000" w:sz="8" w:space="0"/>
              <w:left w:val="single" w:color="000000" w:sz="8" w:space="0"/>
              <w:bottom w:val="single" w:color="000000" w:sz="8" w:space="0"/>
              <w:right w:val="single" w:color="000000" w:sz="8" w:space="0"/>
            </w:tcBorders>
            <w:shd w:val="clear" w:color="auto" w:fill="FFFFFF"/>
            <w:vAlign w:val="center"/>
          </w:tcPr>
          <w:p w14:paraId="5B902183">
            <w:pPr>
              <w:keepNext w:val="0"/>
              <w:keepLines w:val="0"/>
              <w:widowControl/>
              <w:suppressLineNumbers w:val="0"/>
              <w:jc w:val="center"/>
              <w:textAlignment w:val="center"/>
              <w:rPr>
                <w:rFonts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评价指标</w:t>
            </w:r>
          </w:p>
        </w:tc>
        <w:tc>
          <w:tcPr>
            <w:tcW w:w="2950" w:type="dxa"/>
            <w:gridSpan w:val="2"/>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5D1D810C">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指标说明</w:t>
            </w:r>
          </w:p>
        </w:tc>
        <w:tc>
          <w:tcPr>
            <w:tcW w:w="4667"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692C8B23">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参考评分标准</w:t>
            </w:r>
          </w:p>
        </w:tc>
        <w:tc>
          <w:tcPr>
            <w:tcW w:w="106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44391692">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分数</w:t>
            </w:r>
          </w:p>
        </w:tc>
      </w:tr>
      <w:tr w14:paraId="2D9DF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gridAfter w:val="1"/>
          <w:wBefore w:w="93" w:type="dxa"/>
          <w:wAfter w:w="378" w:type="dxa"/>
          <w:trHeight w:val="500" w:hRule="atLeast"/>
        </w:trPr>
        <w:tc>
          <w:tcPr>
            <w:tcW w:w="1444"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61F1EAB2">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一级指标</w:t>
            </w:r>
          </w:p>
        </w:tc>
        <w:tc>
          <w:tcPr>
            <w:tcW w:w="1383"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2944306F">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二级指标</w:t>
            </w:r>
          </w:p>
        </w:tc>
        <w:tc>
          <w:tcPr>
            <w:tcW w:w="2483"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3859CB4B">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三级指标</w:t>
            </w:r>
          </w:p>
        </w:tc>
        <w:tc>
          <w:tcPr>
            <w:tcW w:w="2950"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0E4A303">
            <w:pPr>
              <w:jc w:val="center"/>
              <w:rPr>
                <w:rFonts w:hint="eastAsia" w:ascii="黑体" w:hAnsi="宋体" w:eastAsia="黑体" w:cs="黑体"/>
                <w:i w:val="0"/>
                <w:color w:val="000000"/>
                <w:sz w:val="21"/>
                <w:szCs w:val="21"/>
                <w:u w:val="none"/>
              </w:rPr>
            </w:pPr>
          </w:p>
        </w:tc>
        <w:tc>
          <w:tcPr>
            <w:tcW w:w="46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542D393">
            <w:pPr>
              <w:jc w:val="center"/>
              <w:rPr>
                <w:rFonts w:hint="eastAsia" w:ascii="黑体" w:hAnsi="宋体" w:eastAsia="黑体" w:cs="黑体"/>
                <w:i w:val="0"/>
                <w:color w:val="000000"/>
                <w:sz w:val="21"/>
                <w:szCs w:val="21"/>
                <w:u w:val="none"/>
              </w:rPr>
            </w:pPr>
          </w:p>
        </w:tc>
        <w:tc>
          <w:tcPr>
            <w:tcW w:w="106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B2A71C8">
            <w:pPr>
              <w:jc w:val="center"/>
              <w:rPr>
                <w:rFonts w:hint="eastAsia" w:ascii="黑体" w:hAnsi="宋体" w:eastAsia="黑体" w:cs="黑体"/>
                <w:i w:val="0"/>
                <w:color w:val="000000"/>
                <w:sz w:val="21"/>
                <w:szCs w:val="21"/>
                <w:u w:val="none"/>
              </w:rPr>
            </w:pPr>
          </w:p>
        </w:tc>
      </w:tr>
      <w:tr w14:paraId="2D54A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gridAfter w:val="1"/>
          <w:wBefore w:w="93" w:type="dxa"/>
          <w:wAfter w:w="378" w:type="dxa"/>
          <w:trHeight w:val="584" w:hRule="atLeast"/>
        </w:trPr>
        <w:tc>
          <w:tcPr>
            <w:tcW w:w="37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F2BB099">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名称</w:t>
            </w:r>
          </w:p>
        </w:tc>
        <w:tc>
          <w:tcPr>
            <w:tcW w:w="106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9DBBC76">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参考分值</w:t>
            </w:r>
          </w:p>
        </w:tc>
        <w:tc>
          <w:tcPr>
            <w:tcW w:w="3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682A360">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名称</w:t>
            </w:r>
          </w:p>
        </w:tc>
        <w:tc>
          <w:tcPr>
            <w:tcW w:w="10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0B307CE">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参考分值</w:t>
            </w:r>
          </w:p>
        </w:tc>
        <w:tc>
          <w:tcPr>
            <w:tcW w:w="15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BA054FD">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名称</w:t>
            </w:r>
          </w:p>
        </w:tc>
        <w:tc>
          <w:tcPr>
            <w:tcW w:w="9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DB9733D">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参考分值</w:t>
            </w:r>
          </w:p>
        </w:tc>
        <w:tc>
          <w:tcPr>
            <w:tcW w:w="2950"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3C3E034">
            <w:pPr>
              <w:jc w:val="center"/>
              <w:rPr>
                <w:rFonts w:hint="eastAsia" w:ascii="黑体" w:hAnsi="宋体" w:eastAsia="黑体" w:cs="黑体"/>
                <w:i w:val="0"/>
                <w:color w:val="000000"/>
                <w:sz w:val="21"/>
                <w:szCs w:val="21"/>
                <w:u w:val="none"/>
              </w:rPr>
            </w:pPr>
          </w:p>
        </w:tc>
        <w:tc>
          <w:tcPr>
            <w:tcW w:w="46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9BAEC65">
            <w:pPr>
              <w:jc w:val="center"/>
              <w:rPr>
                <w:rFonts w:hint="eastAsia" w:ascii="黑体" w:hAnsi="宋体" w:eastAsia="黑体" w:cs="黑体"/>
                <w:i w:val="0"/>
                <w:color w:val="000000"/>
                <w:sz w:val="21"/>
                <w:szCs w:val="21"/>
                <w:u w:val="none"/>
              </w:rPr>
            </w:pPr>
          </w:p>
        </w:tc>
        <w:tc>
          <w:tcPr>
            <w:tcW w:w="106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20E3DD0">
            <w:pPr>
              <w:jc w:val="center"/>
              <w:rPr>
                <w:rFonts w:hint="eastAsia" w:ascii="黑体" w:hAnsi="宋体" w:eastAsia="黑体" w:cs="黑体"/>
                <w:i w:val="0"/>
                <w:color w:val="000000"/>
                <w:sz w:val="21"/>
                <w:szCs w:val="21"/>
                <w:u w:val="none"/>
              </w:rPr>
            </w:pPr>
          </w:p>
        </w:tc>
      </w:tr>
      <w:tr w14:paraId="54946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gridAfter w:val="1"/>
          <w:wBefore w:w="93" w:type="dxa"/>
          <w:wAfter w:w="378" w:type="dxa"/>
          <w:trHeight w:val="1020" w:hRule="atLeast"/>
        </w:trPr>
        <w:tc>
          <w:tcPr>
            <w:tcW w:w="377"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3D82063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部门决策</w:t>
            </w:r>
          </w:p>
        </w:tc>
        <w:tc>
          <w:tcPr>
            <w:tcW w:w="1067"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4CF587E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w:t>
            </w:r>
          </w:p>
        </w:tc>
        <w:tc>
          <w:tcPr>
            <w:tcW w:w="333"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3A630DC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预算编制</w:t>
            </w:r>
          </w:p>
        </w:tc>
        <w:tc>
          <w:tcPr>
            <w:tcW w:w="1050"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357EA44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15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BE75C31">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预算编制合理性</w:t>
            </w:r>
          </w:p>
        </w:tc>
        <w:tc>
          <w:tcPr>
            <w:tcW w:w="9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91B169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295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34937FEB">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部门（单位）预算的合理性，即是否符合本部门职责、是否符合市委市政府的方针政策和工作要求，资金有无根据项目的轻重缓急进行分配。</w:t>
            </w:r>
          </w:p>
        </w:tc>
        <w:tc>
          <w:tcPr>
            <w:tcW w:w="4667" w:type="dxa"/>
            <w:tcBorders>
              <w:top w:val="single" w:color="000000" w:sz="8" w:space="0"/>
              <w:left w:val="single" w:color="000000" w:sz="8" w:space="0"/>
              <w:bottom w:val="single" w:color="000000" w:sz="8" w:space="0"/>
              <w:right w:val="single" w:color="000000" w:sz="8" w:space="0"/>
            </w:tcBorders>
            <w:shd w:val="clear" w:color="auto" w:fill="FFFFFF"/>
            <w:vAlign w:val="top"/>
          </w:tcPr>
          <w:p w14:paraId="779F2387">
            <w:pPr>
              <w:keepNext w:val="0"/>
              <w:keepLines w:val="0"/>
              <w:widowControl/>
              <w:suppressLineNumbers w:val="0"/>
              <w:jc w:val="left"/>
              <w:textAlignment w:val="top"/>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1.部门预算编制、分配符合本部门职责、符合市委市政府方针政策和工作要求（1分）； </w:t>
            </w:r>
          </w:p>
          <w:p w14:paraId="1593F685">
            <w:pPr>
              <w:keepNext w:val="0"/>
              <w:keepLines w:val="0"/>
              <w:widowControl/>
              <w:suppressLineNumbers w:val="0"/>
              <w:jc w:val="left"/>
              <w:textAlignment w:val="top"/>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2.部门预算资金能根据年度工作重点，在不同项目、不同用途之间合理分配（1分）；</w:t>
            </w:r>
          </w:p>
          <w:p w14:paraId="67F7DEC8">
            <w:pPr>
              <w:keepNext w:val="0"/>
              <w:keepLines w:val="0"/>
              <w:widowControl/>
              <w:suppressLineNumbers w:val="0"/>
              <w:jc w:val="left"/>
              <w:textAlignment w:val="top"/>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3.专项资金预算编制细化程度合理，未出现因年中调剂导致部门预决算差异过大问题（1分）；</w:t>
            </w:r>
          </w:p>
          <w:p w14:paraId="5D9AF71A">
            <w:pPr>
              <w:keepNext w:val="0"/>
              <w:keepLines w:val="0"/>
              <w:widowControl/>
              <w:suppressLineNumbers w:val="0"/>
              <w:jc w:val="left"/>
              <w:textAlignment w:val="top"/>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4.功能分类和经济分类编制准确，年度中间无大量调剂，未发生项目之间频繁调剂（1分）； </w:t>
            </w:r>
          </w:p>
          <w:p w14:paraId="3AA954C7">
            <w:pPr>
              <w:keepNext w:val="0"/>
              <w:keepLines w:val="0"/>
              <w:widowControl/>
              <w:suppressLineNumbers w:val="0"/>
              <w:jc w:val="left"/>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5.部门预算分配不固化，能根据实际情况合理调整，不存在项目支出进度慢、完成率低、绩效较差，但连年持续安排预算等不合理的情况（1分）。  </w:t>
            </w:r>
          </w:p>
        </w:tc>
        <w:tc>
          <w:tcPr>
            <w:tcW w:w="10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A47F8F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 xml:space="preserve">5.00 </w:t>
            </w:r>
          </w:p>
        </w:tc>
      </w:tr>
      <w:tr w14:paraId="4AB79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Before w:val="1"/>
          <w:gridAfter w:val="1"/>
          <w:wBefore w:w="93" w:type="dxa"/>
          <w:wAfter w:w="378" w:type="dxa"/>
          <w:trHeight w:val="1020" w:hRule="atLeast"/>
        </w:trPr>
        <w:tc>
          <w:tcPr>
            <w:tcW w:w="3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F73168C">
            <w:pPr>
              <w:jc w:val="center"/>
              <w:rPr>
                <w:rFonts w:hint="eastAsia" w:ascii="宋体" w:hAnsi="宋体" w:eastAsia="宋体" w:cs="宋体"/>
                <w:i w:val="0"/>
                <w:color w:val="000000"/>
                <w:sz w:val="21"/>
                <w:szCs w:val="21"/>
                <w:u w:val="none"/>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04894E4">
            <w:pPr>
              <w:jc w:val="center"/>
              <w:rPr>
                <w:rFonts w:hint="eastAsia" w:ascii="宋体" w:hAnsi="宋体" w:eastAsia="宋体" w:cs="宋体"/>
                <w:i w:val="0"/>
                <w:color w:val="000000"/>
                <w:sz w:val="21"/>
                <w:szCs w:val="21"/>
                <w:u w:val="none"/>
              </w:rPr>
            </w:pPr>
          </w:p>
        </w:tc>
        <w:tc>
          <w:tcPr>
            <w:tcW w:w="33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02CD36F">
            <w:pPr>
              <w:jc w:val="center"/>
              <w:rPr>
                <w:rFonts w:hint="eastAsia" w:ascii="宋体" w:hAnsi="宋体" w:eastAsia="宋体" w:cs="宋体"/>
                <w:i w:val="0"/>
                <w:color w:val="000000"/>
                <w:sz w:val="21"/>
                <w:szCs w:val="21"/>
                <w:u w:val="none"/>
              </w:rPr>
            </w:pPr>
          </w:p>
        </w:tc>
        <w:tc>
          <w:tcPr>
            <w:tcW w:w="105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C6C7890">
            <w:pPr>
              <w:jc w:val="center"/>
              <w:rPr>
                <w:rFonts w:hint="eastAsia" w:ascii="宋体" w:hAnsi="宋体" w:eastAsia="宋体" w:cs="宋体"/>
                <w:i w:val="0"/>
                <w:color w:val="000000"/>
                <w:sz w:val="21"/>
                <w:szCs w:val="21"/>
                <w:u w:val="none"/>
              </w:rPr>
            </w:pPr>
          </w:p>
        </w:tc>
        <w:tc>
          <w:tcPr>
            <w:tcW w:w="15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6C59036">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预算编制规范性</w:t>
            </w:r>
          </w:p>
        </w:tc>
        <w:tc>
          <w:tcPr>
            <w:tcW w:w="9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A229B5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295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2CA5E898">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部门（单位）预算编制是否符合财政部门当年度关于预算编制在规范性、完整性、细化程度等方面的原则和要求。</w:t>
            </w:r>
          </w:p>
        </w:tc>
        <w:tc>
          <w:tcPr>
            <w:tcW w:w="4667" w:type="dxa"/>
            <w:tcBorders>
              <w:top w:val="single" w:color="000000" w:sz="8" w:space="0"/>
              <w:left w:val="single" w:color="000000" w:sz="8" w:space="0"/>
              <w:bottom w:val="single" w:color="000000" w:sz="8" w:space="0"/>
              <w:right w:val="single" w:color="000000" w:sz="8" w:space="0"/>
            </w:tcBorders>
            <w:shd w:val="clear" w:color="auto" w:fill="FFFFFF"/>
            <w:vAlign w:val="top"/>
          </w:tcPr>
          <w:p w14:paraId="495F168D">
            <w:pPr>
              <w:keepNext w:val="0"/>
              <w:keepLines w:val="0"/>
              <w:widowControl/>
              <w:suppressLineNumbers w:val="0"/>
              <w:jc w:val="left"/>
              <w:textAlignment w:val="top"/>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1.部门（单位）预算编制符合财政部门当年度关于预算编制的各项原则和要求，符合专项资金预算编制、项目库管理、新增项目事前绩效评估等要求（5分）；</w:t>
            </w:r>
          </w:p>
          <w:p w14:paraId="1EC2B193">
            <w:pPr>
              <w:keepNext w:val="0"/>
              <w:keepLines w:val="0"/>
              <w:widowControl/>
              <w:suppressLineNumbers w:val="0"/>
              <w:jc w:val="left"/>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2.发现一项不符合的扣1分，扣完为止。本指标需对照相应年度由财政部门印发的部门预算编制工作方案、通知和有关制度文件，根据实际情况评分。</w:t>
            </w:r>
          </w:p>
        </w:tc>
        <w:tc>
          <w:tcPr>
            <w:tcW w:w="10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5CABDC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 xml:space="preserve">5.00 </w:t>
            </w:r>
          </w:p>
        </w:tc>
      </w:tr>
      <w:tr w14:paraId="4550E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gridAfter w:val="1"/>
          <w:wBefore w:w="93" w:type="dxa"/>
          <w:wAfter w:w="378" w:type="dxa"/>
          <w:trHeight w:val="1020" w:hRule="atLeast"/>
        </w:trPr>
        <w:tc>
          <w:tcPr>
            <w:tcW w:w="3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E2C2A95">
            <w:pPr>
              <w:jc w:val="center"/>
              <w:rPr>
                <w:rFonts w:hint="eastAsia" w:ascii="宋体" w:hAnsi="宋体" w:eastAsia="宋体" w:cs="宋体"/>
                <w:i w:val="0"/>
                <w:color w:val="000000"/>
                <w:sz w:val="21"/>
                <w:szCs w:val="21"/>
                <w:u w:val="none"/>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B4B931F">
            <w:pPr>
              <w:jc w:val="center"/>
              <w:rPr>
                <w:rFonts w:hint="eastAsia" w:ascii="宋体" w:hAnsi="宋体" w:eastAsia="宋体" w:cs="宋体"/>
                <w:i w:val="0"/>
                <w:color w:val="000000"/>
                <w:sz w:val="21"/>
                <w:szCs w:val="21"/>
                <w:u w:val="none"/>
              </w:rPr>
            </w:pPr>
          </w:p>
        </w:tc>
        <w:tc>
          <w:tcPr>
            <w:tcW w:w="333"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1CFBCEE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目标设置</w:t>
            </w:r>
          </w:p>
        </w:tc>
        <w:tc>
          <w:tcPr>
            <w:tcW w:w="1050"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3CF5632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15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FD6E09B">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绩效目标完整性</w:t>
            </w:r>
          </w:p>
        </w:tc>
        <w:tc>
          <w:tcPr>
            <w:tcW w:w="9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3EE526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295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30CAB9A2">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部门（单位）是否按要求编报项目绩效目标，是否依据充分、内容完整、覆盖全面、符合实际。</w:t>
            </w:r>
          </w:p>
        </w:tc>
        <w:tc>
          <w:tcPr>
            <w:tcW w:w="466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E921EE4">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1.部门（单位）按要求编报部门整体和项目的绩效目标，实现绩效目标全覆盖（3分）；</w:t>
            </w:r>
          </w:p>
          <w:p w14:paraId="3604E501">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2.没按要求编报绩效目标或绩效目标不符合要求的，一项扣1分，扣完为止。</w:t>
            </w:r>
          </w:p>
        </w:tc>
        <w:tc>
          <w:tcPr>
            <w:tcW w:w="10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1A34FD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 xml:space="preserve">3.00 </w:t>
            </w:r>
          </w:p>
        </w:tc>
      </w:tr>
      <w:tr w14:paraId="6E130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gridAfter w:val="1"/>
          <w:wBefore w:w="93" w:type="dxa"/>
          <w:wAfter w:w="378" w:type="dxa"/>
          <w:trHeight w:val="1020" w:hRule="atLeast"/>
        </w:trPr>
        <w:tc>
          <w:tcPr>
            <w:tcW w:w="3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699044B">
            <w:pPr>
              <w:jc w:val="center"/>
              <w:rPr>
                <w:rFonts w:hint="eastAsia" w:ascii="宋体" w:hAnsi="宋体" w:eastAsia="宋体" w:cs="宋体"/>
                <w:i w:val="0"/>
                <w:color w:val="000000"/>
                <w:sz w:val="21"/>
                <w:szCs w:val="21"/>
                <w:u w:val="none"/>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6506D52">
            <w:pPr>
              <w:jc w:val="center"/>
              <w:rPr>
                <w:rFonts w:hint="eastAsia" w:ascii="宋体" w:hAnsi="宋体" w:eastAsia="宋体" w:cs="宋体"/>
                <w:i w:val="0"/>
                <w:color w:val="000000"/>
                <w:sz w:val="21"/>
                <w:szCs w:val="21"/>
                <w:u w:val="none"/>
              </w:rPr>
            </w:pPr>
          </w:p>
        </w:tc>
        <w:tc>
          <w:tcPr>
            <w:tcW w:w="33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5ABC196">
            <w:pPr>
              <w:jc w:val="center"/>
              <w:rPr>
                <w:rFonts w:hint="eastAsia" w:ascii="宋体" w:hAnsi="宋体" w:eastAsia="宋体" w:cs="宋体"/>
                <w:i w:val="0"/>
                <w:color w:val="000000"/>
                <w:sz w:val="21"/>
                <w:szCs w:val="21"/>
                <w:u w:val="none"/>
              </w:rPr>
            </w:pPr>
          </w:p>
        </w:tc>
        <w:tc>
          <w:tcPr>
            <w:tcW w:w="105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E35D810">
            <w:pPr>
              <w:jc w:val="center"/>
              <w:rPr>
                <w:rFonts w:hint="eastAsia" w:ascii="宋体" w:hAnsi="宋体" w:eastAsia="宋体" w:cs="宋体"/>
                <w:i w:val="0"/>
                <w:color w:val="000000"/>
                <w:sz w:val="21"/>
                <w:szCs w:val="21"/>
                <w:u w:val="none"/>
              </w:rPr>
            </w:pPr>
          </w:p>
        </w:tc>
        <w:tc>
          <w:tcPr>
            <w:tcW w:w="15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A4900E0">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绩效指标明确性</w:t>
            </w:r>
          </w:p>
        </w:tc>
        <w:tc>
          <w:tcPr>
            <w:tcW w:w="9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BDD3B6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w:t>
            </w:r>
          </w:p>
        </w:tc>
        <w:tc>
          <w:tcPr>
            <w:tcW w:w="295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64EC809E">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部门（单位）设定的绩效指标是否清晰、细化、可量化，用以反映和考核部门（单位）整体绩效目标的明细化情况。</w:t>
            </w:r>
          </w:p>
        </w:tc>
        <w:tc>
          <w:tcPr>
            <w:tcW w:w="466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1375E9C">
            <w:pPr>
              <w:keepNext w:val="0"/>
              <w:keepLines w:val="0"/>
              <w:widowControl/>
              <w:suppressLineNumbers w:val="0"/>
              <w:ind w:firstLineChars="20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1.绩效指标将部门整体绩效目标细化分解为具体工作任务，与部门年度任务数或计划数相对应（2分）；2.绩效指标中包含能够明确体现部门（单位）履职效果的社会、经济、生态效益指标（2分）； 3.绩效指标具有清晰、可衡量的指标值（1分）； 4.绩效指标包含可量化的指标（1分）；5.绩效目标的目标值测算能提供相关依据或符合客观实际情况（1分）。</w:t>
            </w:r>
          </w:p>
        </w:tc>
        <w:tc>
          <w:tcPr>
            <w:tcW w:w="10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2941A7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 xml:space="preserve">7.00 </w:t>
            </w:r>
          </w:p>
        </w:tc>
      </w:tr>
      <w:tr w14:paraId="040F2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Before w:val="1"/>
          <w:gridAfter w:val="1"/>
          <w:wBefore w:w="93" w:type="dxa"/>
          <w:wAfter w:w="378" w:type="dxa"/>
          <w:trHeight w:val="1020" w:hRule="atLeast"/>
        </w:trPr>
        <w:tc>
          <w:tcPr>
            <w:tcW w:w="377"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7654493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部门管理</w:t>
            </w:r>
          </w:p>
        </w:tc>
        <w:tc>
          <w:tcPr>
            <w:tcW w:w="1067"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3709B2E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w:t>
            </w:r>
          </w:p>
        </w:tc>
        <w:tc>
          <w:tcPr>
            <w:tcW w:w="333"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6236856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资金管理</w:t>
            </w:r>
          </w:p>
        </w:tc>
        <w:tc>
          <w:tcPr>
            <w:tcW w:w="1050"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58F178C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w:t>
            </w:r>
          </w:p>
        </w:tc>
        <w:tc>
          <w:tcPr>
            <w:tcW w:w="15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D0F984A">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政府采购执行情况</w:t>
            </w:r>
          </w:p>
        </w:tc>
        <w:tc>
          <w:tcPr>
            <w:tcW w:w="9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C0C814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295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74200D9D">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部门（单位）本年度实际政府采购金额与年度政府采购预算的比率，用以反映和考核部门（单位）政府采购预算执行情况；政府采购政策功能的执行和落实情况。</w:t>
            </w:r>
          </w:p>
        </w:tc>
        <w:tc>
          <w:tcPr>
            <w:tcW w:w="466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88206C8">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1.政府采购执行率得分=政府采购执行率×1分</w:t>
            </w:r>
          </w:p>
          <w:p w14:paraId="5E48CAA0">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政府采购执行率=（实际采购金额合计数/采购计划金额合计数）×100%</w:t>
            </w:r>
          </w:p>
          <w:p w14:paraId="1C2E225B">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如实际采购金额大于采购计划金额，本项得0分。</w:t>
            </w:r>
          </w:p>
          <w:p w14:paraId="35218AD5">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政府采购预算是指采购机关根据事业发展计划和行政任务编制的、并经过规定程序批准的年度政府采购计划。</w:t>
            </w:r>
          </w:p>
          <w:p w14:paraId="044808FE">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2.政府采购政策功能的执行和落实情况（1分），落实不到位的酌情扣分。</w:t>
            </w:r>
          </w:p>
        </w:tc>
        <w:tc>
          <w:tcPr>
            <w:tcW w:w="10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3E2A0D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 xml:space="preserve">2.00 </w:t>
            </w:r>
          </w:p>
        </w:tc>
      </w:tr>
      <w:tr w14:paraId="7FA7D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Before w:val="1"/>
          <w:gridAfter w:val="1"/>
          <w:wBefore w:w="93" w:type="dxa"/>
          <w:wAfter w:w="378" w:type="dxa"/>
          <w:trHeight w:val="1020" w:hRule="atLeast"/>
        </w:trPr>
        <w:tc>
          <w:tcPr>
            <w:tcW w:w="3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DF8F7FF">
            <w:pPr>
              <w:jc w:val="center"/>
              <w:rPr>
                <w:rFonts w:hint="eastAsia" w:ascii="宋体" w:hAnsi="宋体" w:eastAsia="宋体" w:cs="宋体"/>
                <w:i w:val="0"/>
                <w:color w:val="000000"/>
                <w:sz w:val="21"/>
                <w:szCs w:val="21"/>
                <w:u w:val="none"/>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16BEA1D">
            <w:pPr>
              <w:jc w:val="center"/>
              <w:rPr>
                <w:rFonts w:hint="eastAsia" w:ascii="宋体" w:hAnsi="宋体" w:eastAsia="宋体" w:cs="宋体"/>
                <w:i w:val="0"/>
                <w:color w:val="000000"/>
                <w:sz w:val="21"/>
                <w:szCs w:val="21"/>
                <w:u w:val="none"/>
              </w:rPr>
            </w:pPr>
          </w:p>
        </w:tc>
        <w:tc>
          <w:tcPr>
            <w:tcW w:w="33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CE69C1D">
            <w:pPr>
              <w:jc w:val="center"/>
              <w:rPr>
                <w:rFonts w:hint="eastAsia" w:ascii="宋体" w:hAnsi="宋体" w:eastAsia="宋体" w:cs="宋体"/>
                <w:i w:val="0"/>
                <w:color w:val="000000"/>
                <w:sz w:val="21"/>
                <w:szCs w:val="21"/>
                <w:u w:val="none"/>
              </w:rPr>
            </w:pPr>
          </w:p>
        </w:tc>
        <w:tc>
          <w:tcPr>
            <w:tcW w:w="105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DC2D6FC">
            <w:pPr>
              <w:jc w:val="center"/>
              <w:rPr>
                <w:rFonts w:hint="eastAsia" w:ascii="宋体" w:hAnsi="宋体" w:eastAsia="宋体" w:cs="宋体"/>
                <w:i w:val="0"/>
                <w:color w:val="000000"/>
                <w:sz w:val="21"/>
                <w:szCs w:val="21"/>
                <w:u w:val="none"/>
              </w:rPr>
            </w:pPr>
          </w:p>
        </w:tc>
        <w:tc>
          <w:tcPr>
            <w:tcW w:w="15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C072084">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财务合规性</w:t>
            </w:r>
          </w:p>
        </w:tc>
        <w:tc>
          <w:tcPr>
            <w:tcW w:w="9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5B8BF1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295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3E4C950E">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单位）资金支出规范性，包括资金管理、费用支出等制度是否严格执行；资金调整、调剂是否规范；会计核算是否规范、是否存在支出依据不合规、虚列项目支出的情况；是否存在截留、挤占、挪用项目资金情况。</w:t>
            </w:r>
          </w:p>
        </w:tc>
        <w:tc>
          <w:tcPr>
            <w:tcW w:w="466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BDA2566">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1.资金支出规范性（1分）。资金管理、费用标准、支付符合有关制度规定，按事项完成进度支付资金的，得1分，否则酌情扣分。</w:t>
            </w:r>
          </w:p>
          <w:p w14:paraId="5D484D52">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2.资金调整、调剂规范性（1分）。调整、调剂资金累计在本单位部门预算总规模10%以内的，得1分；超出10%的，超出一个百分点扣0.1分，直至1分扣完为止。</w:t>
            </w:r>
          </w:p>
          <w:p w14:paraId="0E3D9AD8">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3.会计核算规范性（1分）。规范执行会计核算制度得1分，未按规定设专账核算、支出凭证不符合规定或其他核算不规范，酌情扣分。</w:t>
            </w:r>
          </w:p>
          <w:p w14:paraId="49C569D8">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4.发生超范围、超标准支出，虚列支出，截留、挤占、挪用资金的，以及其他不符合制度规定支出，本项指标得0分。</w:t>
            </w:r>
          </w:p>
        </w:tc>
        <w:tc>
          <w:tcPr>
            <w:tcW w:w="10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2D5983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 xml:space="preserve">3.00 </w:t>
            </w:r>
          </w:p>
        </w:tc>
      </w:tr>
      <w:tr w14:paraId="7B63E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gridAfter w:val="1"/>
          <w:wBefore w:w="93" w:type="dxa"/>
          <w:wAfter w:w="378" w:type="dxa"/>
          <w:trHeight w:val="1020" w:hRule="atLeast"/>
        </w:trPr>
        <w:tc>
          <w:tcPr>
            <w:tcW w:w="3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A1AF3B0">
            <w:pPr>
              <w:jc w:val="center"/>
              <w:rPr>
                <w:rFonts w:hint="eastAsia" w:ascii="宋体" w:hAnsi="宋体" w:eastAsia="宋体" w:cs="宋体"/>
                <w:i w:val="0"/>
                <w:color w:val="000000"/>
                <w:sz w:val="21"/>
                <w:szCs w:val="21"/>
                <w:u w:val="none"/>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E96FF42">
            <w:pPr>
              <w:jc w:val="center"/>
              <w:rPr>
                <w:rFonts w:hint="eastAsia" w:ascii="宋体" w:hAnsi="宋体" w:eastAsia="宋体" w:cs="宋体"/>
                <w:i w:val="0"/>
                <w:color w:val="000000"/>
                <w:sz w:val="21"/>
                <w:szCs w:val="21"/>
                <w:u w:val="none"/>
              </w:rPr>
            </w:pPr>
          </w:p>
        </w:tc>
        <w:tc>
          <w:tcPr>
            <w:tcW w:w="33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B98CABA">
            <w:pPr>
              <w:jc w:val="center"/>
              <w:rPr>
                <w:rFonts w:hint="eastAsia" w:ascii="宋体" w:hAnsi="宋体" w:eastAsia="宋体" w:cs="宋体"/>
                <w:i w:val="0"/>
                <w:color w:val="000000"/>
                <w:sz w:val="21"/>
                <w:szCs w:val="21"/>
                <w:u w:val="none"/>
              </w:rPr>
            </w:pPr>
          </w:p>
        </w:tc>
        <w:tc>
          <w:tcPr>
            <w:tcW w:w="105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D444EB2">
            <w:pPr>
              <w:jc w:val="center"/>
              <w:rPr>
                <w:rFonts w:hint="eastAsia" w:ascii="宋体" w:hAnsi="宋体" w:eastAsia="宋体" w:cs="宋体"/>
                <w:i w:val="0"/>
                <w:color w:val="000000"/>
                <w:sz w:val="21"/>
                <w:szCs w:val="21"/>
                <w:u w:val="none"/>
              </w:rPr>
            </w:pPr>
          </w:p>
        </w:tc>
        <w:tc>
          <w:tcPr>
            <w:tcW w:w="15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55FFE26">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预决算信息公开</w:t>
            </w:r>
          </w:p>
        </w:tc>
        <w:tc>
          <w:tcPr>
            <w:tcW w:w="9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79CE61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295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0AC0934D">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部门（单位）在被评价年度是否按照政府信息公开有关规定公开相关预决算信息，用以反映部门（单位）预决算管理的公开透明情况。</w:t>
            </w:r>
          </w:p>
        </w:tc>
        <w:tc>
          <w:tcPr>
            <w:tcW w:w="466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9EFA6ED">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1.部门预算公开（1.5分），按以下标准分档计分：</w:t>
            </w:r>
          </w:p>
          <w:p w14:paraId="252DFACB">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（1）按规定内容、时限、范围等各项要求进行公开的，得1.5分。</w:t>
            </w:r>
          </w:p>
          <w:p w14:paraId="4FD1BCAC">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（2）进行了公开，存在不符合时限、内容、范围等要求的，得1分。</w:t>
            </w:r>
          </w:p>
          <w:p w14:paraId="0DCF2EAF">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（3）没有进行公开的，得0分。</w:t>
            </w:r>
          </w:p>
          <w:p w14:paraId="488B73F0">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2.部门决算公开（1.5分），按以下标准分档计分：</w:t>
            </w:r>
          </w:p>
          <w:p w14:paraId="35A80782">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（1）按规定内容、时限、范围等各项要求进行公开的，得1.5分。</w:t>
            </w:r>
          </w:p>
          <w:p w14:paraId="0A148D3A">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（2）进行了公开，存在不符合时限、内容、范围等要求的，得1分。</w:t>
            </w:r>
          </w:p>
          <w:p w14:paraId="66ECD617">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（3）没有进行公开的，得0分。</w:t>
            </w:r>
          </w:p>
          <w:p w14:paraId="62D64168">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3.涉密部门（单位）按规定不需要公开相关预决算信息的直接得分。</w:t>
            </w:r>
          </w:p>
        </w:tc>
        <w:tc>
          <w:tcPr>
            <w:tcW w:w="10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7A1D72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 xml:space="preserve">3.00 </w:t>
            </w:r>
          </w:p>
        </w:tc>
      </w:tr>
      <w:tr w14:paraId="19D95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Before w:val="1"/>
          <w:gridAfter w:val="1"/>
          <w:wBefore w:w="93" w:type="dxa"/>
          <w:wAfter w:w="378" w:type="dxa"/>
          <w:trHeight w:val="1020" w:hRule="atLeast"/>
        </w:trPr>
        <w:tc>
          <w:tcPr>
            <w:tcW w:w="3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3CA0F63">
            <w:pPr>
              <w:jc w:val="center"/>
              <w:rPr>
                <w:rFonts w:hint="eastAsia" w:ascii="宋体" w:hAnsi="宋体" w:eastAsia="宋体" w:cs="宋体"/>
                <w:i w:val="0"/>
                <w:color w:val="000000"/>
                <w:sz w:val="21"/>
                <w:szCs w:val="21"/>
                <w:u w:val="none"/>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61E4F4E">
            <w:pPr>
              <w:jc w:val="center"/>
              <w:rPr>
                <w:rFonts w:hint="eastAsia" w:ascii="宋体" w:hAnsi="宋体" w:eastAsia="宋体" w:cs="宋体"/>
                <w:i w:val="0"/>
                <w:color w:val="000000"/>
                <w:sz w:val="21"/>
                <w:szCs w:val="21"/>
                <w:u w:val="none"/>
              </w:rPr>
            </w:pPr>
          </w:p>
        </w:tc>
        <w:tc>
          <w:tcPr>
            <w:tcW w:w="333"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058E9D7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项目管理</w:t>
            </w:r>
          </w:p>
        </w:tc>
        <w:tc>
          <w:tcPr>
            <w:tcW w:w="1050"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5638591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15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4472DB5">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项目实施程序</w:t>
            </w:r>
          </w:p>
        </w:tc>
        <w:tc>
          <w:tcPr>
            <w:tcW w:w="9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84FF33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295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1BCD1976">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部门（单位）所有项目支出实施过程是否规范,包括是否符合申报条件；申报、批复程序是否符合相关管理办法；项目招投标、调整、完成验收等是否履行相应手续等。</w:t>
            </w:r>
          </w:p>
        </w:tc>
        <w:tc>
          <w:tcPr>
            <w:tcW w:w="466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93D4163">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1.项目的设立、调整按规定履行报批程序（1分）；</w:t>
            </w:r>
          </w:p>
          <w:p w14:paraId="5B59DC77">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2.项目招投标、建设、验收以及方案实施均严格执行相关制度规定（1分）。</w:t>
            </w:r>
          </w:p>
        </w:tc>
        <w:tc>
          <w:tcPr>
            <w:tcW w:w="10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8999BC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 xml:space="preserve">2.00 </w:t>
            </w:r>
          </w:p>
        </w:tc>
      </w:tr>
      <w:tr w14:paraId="442A6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gridAfter w:val="1"/>
          <w:wBefore w:w="93" w:type="dxa"/>
          <w:wAfter w:w="378" w:type="dxa"/>
          <w:trHeight w:val="1020" w:hRule="atLeast"/>
        </w:trPr>
        <w:tc>
          <w:tcPr>
            <w:tcW w:w="3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892F2EA">
            <w:pPr>
              <w:jc w:val="center"/>
              <w:rPr>
                <w:rFonts w:hint="eastAsia" w:ascii="宋体" w:hAnsi="宋体" w:eastAsia="宋体" w:cs="宋体"/>
                <w:i w:val="0"/>
                <w:color w:val="000000"/>
                <w:sz w:val="21"/>
                <w:szCs w:val="21"/>
                <w:u w:val="none"/>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4856F04">
            <w:pPr>
              <w:jc w:val="center"/>
              <w:rPr>
                <w:rFonts w:hint="eastAsia" w:ascii="宋体" w:hAnsi="宋体" w:eastAsia="宋体" w:cs="宋体"/>
                <w:i w:val="0"/>
                <w:color w:val="000000"/>
                <w:sz w:val="21"/>
                <w:szCs w:val="21"/>
                <w:u w:val="none"/>
              </w:rPr>
            </w:pPr>
          </w:p>
        </w:tc>
        <w:tc>
          <w:tcPr>
            <w:tcW w:w="33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AFD2698">
            <w:pPr>
              <w:jc w:val="center"/>
              <w:rPr>
                <w:rFonts w:hint="eastAsia" w:ascii="宋体" w:hAnsi="宋体" w:eastAsia="宋体" w:cs="宋体"/>
                <w:i w:val="0"/>
                <w:color w:val="000000"/>
                <w:sz w:val="21"/>
                <w:szCs w:val="21"/>
                <w:u w:val="none"/>
              </w:rPr>
            </w:pPr>
          </w:p>
        </w:tc>
        <w:tc>
          <w:tcPr>
            <w:tcW w:w="105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D9CBA01">
            <w:pPr>
              <w:jc w:val="center"/>
              <w:rPr>
                <w:rFonts w:hint="eastAsia" w:ascii="宋体" w:hAnsi="宋体" w:eastAsia="宋体" w:cs="宋体"/>
                <w:i w:val="0"/>
                <w:color w:val="000000"/>
                <w:sz w:val="21"/>
                <w:szCs w:val="21"/>
                <w:u w:val="none"/>
              </w:rPr>
            </w:pPr>
          </w:p>
        </w:tc>
        <w:tc>
          <w:tcPr>
            <w:tcW w:w="15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F5447C8">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项目监管</w:t>
            </w:r>
          </w:p>
        </w:tc>
        <w:tc>
          <w:tcPr>
            <w:tcW w:w="9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BA68C0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295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455D229D">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部门（单位）对所实施项目（包括部门主管的专项资金和专项经费分配给市、区实施的项目）的检查、监控、督促整改等管理情况。</w:t>
            </w:r>
          </w:p>
        </w:tc>
        <w:tc>
          <w:tcPr>
            <w:tcW w:w="466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D1BCF93">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1.资金使用单位、基层资金管理单位建立有效资金管理和绩效运行监控机制，且执行情况良好（1分）；</w:t>
            </w:r>
          </w:p>
          <w:p w14:paraId="7FAA29E7">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各主管部门按规定对主管的财政资金（含专项资金和专项经费）开展有效的检查、监控、督促整改（1分），如无法提供开展检查监督相关证明材料，或被评价年度部门主管的专项资金绩效评价结果为差的，得0分。</w:t>
            </w:r>
          </w:p>
        </w:tc>
        <w:tc>
          <w:tcPr>
            <w:tcW w:w="10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60BAC6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 xml:space="preserve">2.00 </w:t>
            </w:r>
          </w:p>
        </w:tc>
      </w:tr>
      <w:tr w14:paraId="254E1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Before w:val="1"/>
          <w:gridAfter w:val="1"/>
          <w:wBefore w:w="93" w:type="dxa"/>
          <w:wAfter w:w="378" w:type="dxa"/>
          <w:trHeight w:val="1020" w:hRule="atLeast"/>
        </w:trPr>
        <w:tc>
          <w:tcPr>
            <w:tcW w:w="3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1D01E2A">
            <w:pPr>
              <w:jc w:val="center"/>
              <w:rPr>
                <w:rFonts w:hint="eastAsia" w:ascii="宋体" w:hAnsi="宋体" w:eastAsia="宋体" w:cs="宋体"/>
                <w:i w:val="0"/>
                <w:color w:val="000000"/>
                <w:sz w:val="21"/>
                <w:szCs w:val="21"/>
                <w:u w:val="none"/>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4A111B9">
            <w:pPr>
              <w:jc w:val="center"/>
              <w:rPr>
                <w:rFonts w:hint="eastAsia" w:ascii="宋体" w:hAnsi="宋体" w:eastAsia="宋体" w:cs="宋体"/>
                <w:i w:val="0"/>
                <w:color w:val="000000"/>
                <w:sz w:val="21"/>
                <w:szCs w:val="21"/>
                <w:u w:val="none"/>
              </w:rPr>
            </w:pPr>
          </w:p>
        </w:tc>
        <w:tc>
          <w:tcPr>
            <w:tcW w:w="333"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61C281E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资产管理</w:t>
            </w:r>
          </w:p>
        </w:tc>
        <w:tc>
          <w:tcPr>
            <w:tcW w:w="1050"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30B56FD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15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6EFA11D">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资产管理安全性</w:t>
            </w:r>
          </w:p>
        </w:tc>
        <w:tc>
          <w:tcPr>
            <w:tcW w:w="9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CB8C85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295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08212A70">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部门（单位）的资产是否保存完整、使用合规、配置合理、处置规范、收入及时足额上缴，用于反映和考核部门（单位）资产安全运行情况。</w:t>
            </w:r>
          </w:p>
        </w:tc>
        <w:tc>
          <w:tcPr>
            <w:tcW w:w="466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7F8D323">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1.资产配置合理、保管完整，账实相符（1分）；</w:t>
            </w:r>
          </w:p>
          <w:p w14:paraId="07E29ECD">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2.资产处置规范，有偿使用及处置收入及时足额上缴（1分）。</w:t>
            </w:r>
          </w:p>
        </w:tc>
        <w:tc>
          <w:tcPr>
            <w:tcW w:w="10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9C66B4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 xml:space="preserve">1.00 </w:t>
            </w:r>
          </w:p>
        </w:tc>
      </w:tr>
      <w:tr w14:paraId="5FC20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Before w:val="1"/>
          <w:gridAfter w:val="1"/>
          <w:wBefore w:w="93" w:type="dxa"/>
          <w:wAfter w:w="378" w:type="dxa"/>
          <w:trHeight w:val="1020" w:hRule="atLeast"/>
        </w:trPr>
        <w:tc>
          <w:tcPr>
            <w:tcW w:w="3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50EE39D">
            <w:pPr>
              <w:jc w:val="center"/>
              <w:rPr>
                <w:rFonts w:hint="eastAsia" w:ascii="宋体" w:hAnsi="宋体" w:eastAsia="宋体" w:cs="宋体"/>
                <w:i w:val="0"/>
                <w:color w:val="000000"/>
                <w:sz w:val="21"/>
                <w:szCs w:val="21"/>
                <w:u w:val="none"/>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16B0869">
            <w:pPr>
              <w:jc w:val="center"/>
              <w:rPr>
                <w:rFonts w:hint="eastAsia" w:ascii="宋体" w:hAnsi="宋体" w:eastAsia="宋体" w:cs="宋体"/>
                <w:i w:val="0"/>
                <w:color w:val="000000"/>
                <w:sz w:val="21"/>
                <w:szCs w:val="21"/>
                <w:u w:val="none"/>
              </w:rPr>
            </w:pPr>
          </w:p>
        </w:tc>
        <w:tc>
          <w:tcPr>
            <w:tcW w:w="33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E1783C0">
            <w:pPr>
              <w:jc w:val="center"/>
              <w:rPr>
                <w:rFonts w:hint="eastAsia" w:ascii="宋体" w:hAnsi="宋体" w:eastAsia="宋体" w:cs="宋体"/>
                <w:i w:val="0"/>
                <w:color w:val="000000"/>
                <w:sz w:val="21"/>
                <w:szCs w:val="21"/>
                <w:u w:val="none"/>
              </w:rPr>
            </w:pPr>
          </w:p>
        </w:tc>
        <w:tc>
          <w:tcPr>
            <w:tcW w:w="105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1D784F8">
            <w:pPr>
              <w:jc w:val="center"/>
              <w:rPr>
                <w:rFonts w:hint="eastAsia" w:ascii="宋体" w:hAnsi="宋体" w:eastAsia="宋体" w:cs="宋体"/>
                <w:i w:val="0"/>
                <w:color w:val="000000"/>
                <w:sz w:val="21"/>
                <w:szCs w:val="21"/>
                <w:u w:val="none"/>
              </w:rPr>
            </w:pPr>
          </w:p>
        </w:tc>
        <w:tc>
          <w:tcPr>
            <w:tcW w:w="15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AF5FA2C">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固定资产利用率</w:t>
            </w:r>
          </w:p>
        </w:tc>
        <w:tc>
          <w:tcPr>
            <w:tcW w:w="9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E34B7D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295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7FAC78B2">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部门（单位）实际在用固定资产总额与所有固定资产总额的比例，用以反映和考核部门（单位）固定资产使用效率程度。</w:t>
            </w:r>
          </w:p>
        </w:tc>
        <w:tc>
          <w:tcPr>
            <w:tcW w:w="466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2505E79">
            <w:pPr>
              <w:keepNext w:val="0"/>
              <w:keepLines w:val="0"/>
              <w:widowControl/>
              <w:suppressLineNumbers w:val="0"/>
              <w:ind w:firstLineChars="20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固定资产利用率=（实际在用固定资产总额/所有固定资产总额）×100%</w:t>
            </w:r>
          </w:p>
          <w:p w14:paraId="273E7978">
            <w:pPr>
              <w:keepNext w:val="0"/>
              <w:keepLines w:val="0"/>
              <w:widowControl/>
              <w:suppressLineNumbers w:val="0"/>
              <w:ind w:firstLineChars="20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1.固定资产利用率≥90%的，得1分； </w:t>
            </w:r>
          </w:p>
          <w:p w14:paraId="552E4479">
            <w:pPr>
              <w:keepNext w:val="0"/>
              <w:keepLines w:val="0"/>
              <w:widowControl/>
              <w:suppressLineNumbers w:val="0"/>
              <w:ind w:firstLineChars="20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2.90%＞固定资产利用率≥75%的，得0.7分；</w:t>
            </w:r>
          </w:p>
          <w:p w14:paraId="7EBB38BC">
            <w:pPr>
              <w:keepNext w:val="0"/>
              <w:keepLines w:val="0"/>
              <w:widowControl/>
              <w:suppressLineNumbers w:val="0"/>
              <w:ind w:firstLineChars="20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3.75%＞固定资产利用率≥60%的，得0.4分；</w:t>
            </w:r>
          </w:p>
          <w:p w14:paraId="3F6BCDF6">
            <w:pPr>
              <w:keepNext w:val="0"/>
              <w:keepLines w:val="0"/>
              <w:widowControl/>
              <w:suppressLineNumbers w:val="0"/>
              <w:ind w:firstLineChars="20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  4.固定资产利用率＜60%的，得0分。</w:t>
            </w:r>
          </w:p>
        </w:tc>
        <w:tc>
          <w:tcPr>
            <w:tcW w:w="10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D4562B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 xml:space="preserve">2.00 </w:t>
            </w:r>
          </w:p>
        </w:tc>
      </w:tr>
      <w:tr w14:paraId="14417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gridAfter w:val="1"/>
          <w:wBefore w:w="93" w:type="dxa"/>
          <w:wAfter w:w="378" w:type="dxa"/>
          <w:trHeight w:val="1020" w:hRule="atLeast"/>
        </w:trPr>
        <w:tc>
          <w:tcPr>
            <w:tcW w:w="3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450127B">
            <w:pPr>
              <w:jc w:val="center"/>
              <w:rPr>
                <w:rFonts w:hint="eastAsia" w:ascii="宋体" w:hAnsi="宋体" w:eastAsia="宋体" w:cs="宋体"/>
                <w:i w:val="0"/>
                <w:color w:val="000000"/>
                <w:sz w:val="21"/>
                <w:szCs w:val="21"/>
                <w:u w:val="none"/>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DCFB035">
            <w:pPr>
              <w:jc w:val="center"/>
              <w:rPr>
                <w:rFonts w:hint="eastAsia" w:ascii="宋体" w:hAnsi="宋体" w:eastAsia="宋体" w:cs="宋体"/>
                <w:i w:val="0"/>
                <w:color w:val="000000"/>
                <w:sz w:val="21"/>
                <w:szCs w:val="21"/>
                <w:u w:val="none"/>
              </w:rPr>
            </w:pPr>
          </w:p>
        </w:tc>
        <w:tc>
          <w:tcPr>
            <w:tcW w:w="333"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279EAB0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人员管理</w:t>
            </w:r>
          </w:p>
        </w:tc>
        <w:tc>
          <w:tcPr>
            <w:tcW w:w="1050"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566817F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15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603D9C7">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财政供养人员控制率</w:t>
            </w:r>
          </w:p>
        </w:tc>
        <w:tc>
          <w:tcPr>
            <w:tcW w:w="9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1E5EE6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295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0E32B98F">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部门（单位）本年度在编人数（含工勤人员）与核定编制数（含工勤人员）的比率。</w:t>
            </w:r>
          </w:p>
        </w:tc>
        <w:tc>
          <w:tcPr>
            <w:tcW w:w="466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9F9AD8E">
            <w:pPr>
              <w:keepNext w:val="0"/>
              <w:keepLines w:val="0"/>
              <w:widowControl/>
              <w:suppressLineNumbers w:val="0"/>
              <w:ind w:firstLineChars="20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财政供养人员控制率=本年度在编人数（含工勤人员）/核定编制数（含工勤人员）</w:t>
            </w:r>
          </w:p>
          <w:p w14:paraId="34FE966E">
            <w:pPr>
              <w:keepNext w:val="0"/>
              <w:keepLines w:val="0"/>
              <w:widowControl/>
              <w:suppressLineNumbers w:val="0"/>
              <w:ind w:firstLineChars="20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1.财政供养人员控制率≤100%的，得1分；</w:t>
            </w:r>
          </w:p>
          <w:p w14:paraId="0E02FBAA">
            <w:pPr>
              <w:keepNext w:val="0"/>
              <w:keepLines w:val="0"/>
              <w:widowControl/>
              <w:suppressLineNumbers w:val="0"/>
              <w:ind w:firstLineChars="20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   2.财政供养人员控制率＞100%的，得0分。</w:t>
            </w:r>
          </w:p>
        </w:tc>
        <w:tc>
          <w:tcPr>
            <w:tcW w:w="10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CB38C5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 xml:space="preserve">1.00 </w:t>
            </w:r>
          </w:p>
        </w:tc>
      </w:tr>
      <w:tr w14:paraId="02DA0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gridAfter w:val="1"/>
          <w:wBefore w:w="93" w:type="dxa"/>
          <w:wAfter w:w="378" w:type="dxa"/>
          <w:trHeight w:val="1020" w:hRule="atLeast"/>
        </w:trPr>
        <w:tc>
          <w:tcPr>
            <w:tcW w:w="3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0C1B837">
            <w:pPr>
              <w:jc w:val="center"/>
              <w:rPr>
                <w:rFonts w:hint="eastAsia" w:ascii="宋体" w:hAnsi="宋体" w:eastAsia="宋体" w:cs="宋体"/>
                <w:i w:val="0"/>
                <w:color w:val="000000"/>
                <w:sz w:val="21"/>
                <w:szCs w:val="21"/>
                <w:u w:val="none"/>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0849CAA">
            <w:pPr>
              <w:jc w:val="center"/>
              <w:rPr>
                <w:rFonts w:hint="eastAsia" w:ascii="宋体" w:hAnsi="宋体" w:eastAsia="宋体" w:cs="宋体"/>
                <w:i w:val="0"/>
                <w:color w:val="000000"/>
                <w:sz w:val="21"/>
                <w:szCs w:val="21"/>
                <w:u w:val="none"/>
              </w:rPr>
            </w:pPr>
          </w:p>
        </w:tc>
        <w:tc>
          <w:tcPr>
            <w:tcW w:w="33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F86A637">
            <w:pPr>
              <w:jc w:val="center"/>
              <w:rPr>
                <w:rFonts w:hint="eastAsia" w:ascii="宋体" w:hAnsi="宋体" w:eastAsia="宋体" w:cs="宋体"/>
                <w:i w:val="0"/>
                <w:color w:val="000000"/>
                <w:sz w:val="21"/>
                <w:szCs w:val="21"/>
                <w:u w:val="none"/>
              </w:rPr>
            </w:pPr>
          </w:p>
        </w:tc>
        <w:tc>
          <w:tcPr>
            <w:tcW w:w="105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A78F951">
            <w:pPr>
              <w:jc w:val="center"/>
              <w:rPr>
                <w:rFonts w:hint="eastAsia" w:ascii="宋体" w:hAnsi="宋体" w:eastAsia="宋体" w:cs="宋体"/>
                <w:i w:val="0"/>
                <w:color w:val="000000"/>
                <w:sz w:val="21"/>
                <w:szCs w:val="21"/>
                <w:u w:val="none"/>
              </w:rPr>
            </w:pPr>
          </w:p>
        </w:tc>
        <w:tc>
          <w:tcPr>
            <w:tcW w:w="15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BAB199F">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编外人员控制率</w:t>
            </w:r>
          </w:p>
        </w:tc>
        <w:tc>
          <w:tcPr>
            <w:tcW w:w="9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6C6361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295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569980E5">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部门（单位）本年度使用劳务派遣人员数量（含直接聘用的编外人员）与在职人员总数（在编+编外）的比率。</w:t>
            </w:r>
          </w:p>
        </w:tc>
        <w:tc>
          <w:tcPr>
            <w:tcW w:w="466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5559484">
            <w:pPr>
              <w:keepNext w:val="0"/>
              <w:keepLines w:val="0"/>
              <w:widowControl/>
              <w:suppressLineNumbers w:val="0"/>
              <w:ind w:firstLineChars="20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1.比率＜5%的，得1分；</w:t>
            </w:r>
          </w:p>
          <w:p w14:paraId="65632366">
            <w:pPr>
              <w:keepNext w:val="0"/>
              <w:keepLines w:val="0"/>
              <w:widowControl/>
              <w:suppressLineNumbers w:val="0"/>
              <w:ind w:firstLineChars="20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2.5%≤比率≤10%的，得0.5分；</w:t>
            </w:r>
          </w:p>
          <w:p w14:paraId="0D0D931F">
            <w:pPr>
              <w:keepNext w:val="0"/>
              <w:keepLines w:val="0"/>
              <w:widowControl/>
              <w:suppressLineNumbers w:val="0"/>
              <w:ind w:firstLineChars="20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3.比率＞10%的，得0分。</w:t>
            </w:r>
          </w:p>
        </w:tc>
        <w:tc>
          <w:tcPr>
            <w:tcW w:w="10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49097E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 xml:space="preserve">1.00 </w:t>
            </w:r>
          </w:p>
        </w:tc>
      </w:tr>
      <w:tr w14:paraId="5D2F9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Before w:val="1"/>
          <w:gridAfter w:val="1"/>
          <w:wBefore w:w="93" w:type="dxa"/>
          <w:wAfter w:w="378" w:type="dxa"/>
          <w:trHeight w:val="1020" w:hRule="atLeast"/>
        </w:trPr>
        <w:tc>
          <w:tcPr>
            <w:tcW w:w="3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F6DC616">
            <w:pPr>
              <w:jc w:val="center"/>
              <w:rPr>
                <w:rFonts w:hint="eastAsia" w:ascii="宋体" w:hAnsi="宋体" w:eastAsia="宋体" w:cs="宋体"/>
                <w:i w:val="0"/>
                <w:color w:val="000000"/>
                <w:sz w:val="21"/>
                <w:szCs w:val="21"/>
                <w:u w:val="none"/>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468DE76">
            <w:pPr>
              <w:jc w:val="center"/>
              <w:rPr>
                <w:rFonts w:hint="eastAsia" w:ascii="宋体" w:hAnsi="宋体" w:eastAsia="宋体" w:cs="宋体"/>
                <w:i w:val="0"/>
                <w:color w:val="000000"/>
                <w:sz w:val="21"/>
                <w:szCs w:val="21"/>
                <w:u w:val="none"/>
              </w:rPr>
            </w:pPr>
          </w:p>
        </w:tc>
        <w:tc>
          <w:tcPr>
            <w:tcW w:w="3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38B2E2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制度管理</w:t>
            </w:r>
          </w:p>
        </w:tc>
        <w:tc>
          <w:tcPr>
            <w:tcW w:w="10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4E080B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15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DF8165F">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管理制度健全性</w:t>
            </w:r>
          </w:p>
        </w:tc>
        <w:tc>
          <w:tcPr>
            <w:tcW w:w="9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9E2EF4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295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7FB4FC66">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部门（单位）制定了相应的预算资金、财务管理和预算绩效管理等制度并严格执行，用以反映部门（单位）的管理制度对其完成主要职责和促进事业发展的保障情况。</w:t>
            </w:r>
          </w:p>
        </w:tc>
        <w:tc>
          <w:tcPr>
            <w:tcW w:w="4667" w:type="dxa"/>
            <w:tcBorders>
              <w:top w:val="single" w:color="000000" w:sz="8" w:space="0"/>
              <w:left w:val="single" w:color="000000" w:sz="8" w:space="0"/>
              <w:bottom w:val="single" w:color="000000" w:sz="8" w:space="0"/>
              <w:right w:val="single" w:color="000000" w:sz="8" w:space="0"/>
            </w:tcBorders>
            <w:shd w:val="clear" w:color="auto" w:fill="FFFFFF"/>
            <w:vAlign w:val="top"/>
          </w:tcPr>
          <w:p w14:paraId="7573C07B">
            <w:pPr>
              <w:keepNext w:val="0"/>
              <w:keepLines w:val="0"/>
              <w:widowControl/>
              <w:suppressLineNumbers w:val="0"/>
              <w:jc w:val="left"/>
              <w:textAlignment w:val="top"/>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1.部门制定了财政资金管理、财务管理、内部控制等制度（0.5分）；</w:t>
            </w:r>
          </w:p>
          <w:p w14:paraId="75D089E8">
            <w:pPr>
              <w:keepNext w:val="0"/>
              <w:keepLines w:val="0"/>
              <w:widowControl/>
              <w:suppressLineNumbers w:val="0"/>
              <w:jc w:val="left"/>
              <w:textAlignment w:val="top"/>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2.上述财政资金管理、财务管理、内部控制等制度得到有效执行（1.5分）；</w:t>
            </w:r>
          </w:p>
          <w:p w14:paraId="7789A7AE">
            <w:pPr>
              <w:keepNext w:val="0"/>
              <w:keepLines w:val="0"/>
              <w:widowControl/>
              <w:suppressLineNumbers w:val="0"/>
              <w:jc w:val="left"/>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3.部门按照预算和绩效管理一体化的要求制定本部门全面实施预算绩效管理的制度或工作方案，组织指导本级及下属单位开展事前评估、绩效目标编报、绩效监控、绩效评价和评价结果应用等工作（1分）。</w:t>
            </w:r>
          </w:p>
        </w:tc>
        <w:tc>
          <w:tcPr>
            <w:tcW w:w="10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6053A1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 xml:space="preserve">3.00 </w:t>
            </w:r>
          </w:p>
        </w:tc>
      </w:tr>
      <w:tr w14:paraId="4AEB7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gridAfter w:val="1"/>
          <w:wBefore w:w="93" w:type="dxa"/>
          <w:wAfter w:w="378" w:type="dxa"/>
          <w:trHeight w:val="1020" w:hRule="atLeast"/>
        </w:trPr>
        <w:tc>
          <w:tcPr>
            <w:tcW w:w="377"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577F793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部门绩效</w:t>
            </w:r>
          </w:p>
        </w:tc>
        <w:tc>
          <w:tcPr>
            <w:tcW w:w="1067"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265CC6C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60</w:t>
            </w:r>
          </w:p>
        </w:tc>
        <w:tc>
          <w:tcPr>
            <w:tcW w:w="3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3BEE7C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经济性</w:t>
            </w:r>
          </w:p>
        </w:tc>
        <w:tc>
          <w:tcPr>
            <w:tcW w:w="10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10EC17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p>
        </w:tc>
        <w:tc>
          <w:tcPr>
            <w:tcW w:w="15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DEF6633">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公用经费控制率</w:t>
            </w:r>
          </w:p>
        </w:tc>
        <w:tc>
          <w:tcPr>
            <w:tcW w:w="9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6911EF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p>
        </w:tc>
        <w:tc>
          <w:tcPr>
            <w:tcW w:w="295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23C99C7C">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部门（单位）本年度实际支出的公用经费总额与预算安排的公用经费总额的比率，用以反映和考核部门（单位）对机构运转成本的实际控制程度。</w:t>
            </w:r>
          </w:p>
        </w:tc>
        <w:tc>
          <w:tcPr>
            <w:tcW w:w="466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1F47967">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1.“三公”经费控制率=“三公”经费实际支出数/“三公”经费预算安排数×100%</w:t>
            </w:r>
          </w:p>
          <w:p w14:paraId="676F00E3">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（1）“三公”经费控制率＜90%的，得3分；</w:t>
            </w:r>
          </w:p>
          <w:p w14:paraId="4A006C24">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（2）90%≤“三公”经费控制率≤100%的，得2分；</w:t>
            </w:r>
          </w:p>
          <w:p w14:paraId="64A53D47">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（3）“三公”经费控制率＞100%的，得0分。</w:t>
            </w:r>
          </w:p>
          <w:p w14:paraId="41A85BAF">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 日常公用经费控制率=日常公用经费决算数/日常公用经费调整预算数×100%</w:t>
            </w:r>
          </w:p>
          <w:p w14:paraId="7F645807">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（1）日常公用经费控制率＜90%的，得3分；</w:t>
            </w:r>
          </w:p>
          <w:p w14:paraId="3B5CF7FE">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（2）90%≤日常公用经费控制率≤100%的，得2分；</w:t>
            </w:r>
          </w:p>
          <w:p w14:paraId="7F8B301F">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（3）日常公用经费控制率＞100%的，得0分。</w:t>
            </w:r>
          </w:p>
        </w:tc>
        <w:tc>
          <w:tcPr>
            <w:tcW w:w="10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997FEC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 xml:space="preserve">5.00 </w:t>
            </w:r>
          </w:p>
        </w:tc>
      </w:tr>
      <w:tr w14:paraId="5E023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gridAfter w:val="1"/>
          <w:wBefore w:w="93" w:type="dxa"/>
          <w:wAfter w:w="378" w:type="dxa"/>
          <w:trHeight w:val="1020" w:hRule="atLeast"/>
        </w:trPr>
        <w:tc>
          <w:tcPr>
            <w:tcW w:w="3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3253F22">
            <w:pPr>
              <w:jc w:val="center"/>
              <w:rPr>
                <w:rFonts w:hint="eastAsia" w:ascii="宋体" w:hAnsi="宋体" w:eastAsia="宋体" w:cs="宋体"/>
                <w:i w:val="0"/>
                <w:color w:val="000000"/>
                <w:sz w:val="21"/>
                <w:szCs w:val="21"/>
                <w:u w:val="none"/>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56FA22B">
            <w:pPr>
              <w:jc w:val="center"/>
              <w:rPr>
                <w:rFonts w:hint="eastAsia" w:ascii="宋体" w:hAnsi="宋体" w:eastAsia="宋体" w:cs="宋体"/>
                <w:i w:val="0"/>
                <w:color w:val="000000"/>
                <w:sz w:val="21"/>
                <w:szCs w:val="21"/>
                <w:u w:val="none"/>
              </w:rPr>
            </w:pPr>
          </w:p>
        </w:tc>
        <w:tc>
          <w:tcPr>
            <w:tcW w:w="333"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105AABF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效率性</w:t>
            </w:r>
          </w:p>
        </w:tc>
        <w:tc>
          <w:tcPr>
            <w:tcW w:w="1050"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70047D6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w:t>
            </w:r>
          </w:p>
        </w:tc>
        <w:tc>
          <w:tcPr>
            <w:tcW w:w="15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A290855">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预算执行率</w:t>
            </w:r>
          </w:p>
        </w:tc>
        <w:tc>
          <w:tcPr>
            <w:tcW w:w="9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725D34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p>
        </w:tc>
        <w:tc>
          <w:tcPr>
            <w:tcW w:w="295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042CFD9F">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部门（单位）部门预算实际支付进度和既定支付进度的匹配情况，反映和考核部门（单位）预算执行的及时性和均衡性。</w:t>
            </w:r>
          </w:p>
        </w:tc>
        <w:tc>
          <w:tcPr>
            <w:tcW w:w="466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D560A28">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1.一季度预算执行率得分=（一季度部门预算支出进度/序时进度25%）×1分</w:t>
            </w:r>
          </w:p>
          <w:p w14:paraId="01807186">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2.二季度预算执行率得分=（二季度部门预算支出进度/序时进度50%）×1分</w:t>
            </w:r>
          </w:p>
          <w:p w14:paraId="0FCE9E41">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3.三季度预算执行率得分=（三季度部门预算支出进度/序时进度75%）×1分</w:t>
            </w:r>
          </w:p>
          <w:p w14:paraId="2B746C40">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4.四季度预算执行率得分=（四季度部门预算支出进度/序时进度100%）×1分</w:t>
            </w:r>
          </w:p>
          <w:p w14:paraId="3A813F56">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5.全年平均支出进度得分=全年平均执行率×2分</w:t>
            </w:r>
          </w:p>
          <w:p w14:paraId="01BBB780">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其中：全年平均执行率=∑（每个季度的执行率）÷4</w:t>
            </w:r>
          </w:p>
          <w:p w14:paraId="63897585">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季度支出进度=季度末月份累计支出进度（即3、6、9、12月月末支出进度）</w:t>
            </w:r>
          </w:p>
        </w:tc>
        <w:tc>
          <w:tcPr>
            <w:tcW w:w="10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6CAD37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 xml:space="preserve">3.96 </w:t>
            </w:r>
          </w:p>
        </w:tc>
      </w:tr>
      <w:tr w14:paraId="39DC4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Before w:val="1"/>
          <w:gridAfter w:val="1"/>
          <w:wBefore w:w="93" w:type="dxa"/>
          <w:wAfter w:w="378" w:type="dxa"/>
          <w:trHeight w:val="1020" w:hRule="atLeast"/>
        </w:trPr>
        <w:tc>
          <w:tcPr>
            <w:tcW w:w="3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C7FDF46">
            <w:pPr>
              <w:jc w:val="center"/>
              <w:rPr>
                <w:rFonts w:hint="eastAsia" w:ascii="宋体" w:hAnsi="宋体" w:eastAsia="宋体" w:cs="宋体"/>
                <w:i w:val="0"/>
                <w:color w:val="000000"/>
                <w:sz w:val="21"/>
                <w:szCs w:val="21"/>
                <w:u w:val="none"/>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3508716">
            <w:pPr>
              <w:jc w:val="center"/>
              <w:rPr>
                <w:rFonts w:hint="eastAsia" w:ascii="宋体" w:hAnsi="宋体" w:eastAsia="宋体" w:cs="宋体"/>
                <w:i w:val="0"/>
                <w:color w:val="000000"/>
                <w:sz w:val="21"/>
                <w:szCs w:val="21"/>
                <w:u w:val="none"/>
              </w:rPr>
            </w:pPr>
          </w:p>
        </w:tc>
        <w:tc>
          <w:tcPr>
            <w:tcW w:w="33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071B299">
            <w:pPr>
              <w:jc w:val="center"/>
              <w:rPr>
                <w:rFonts w:hint="eastAsia" w:ascii="宋体" w:hAnsi="宋体" w:eastAsia="宋体" w:cs="宋体"/>
                <w:i w:val="0"/>
                <w:color w:val="000000"/>
                <w:sz w:val="21"/>
                <w:szCs w:val="21"/>
                <w:u w:val="none"/>
              </w:rPr>
            </w:pPr>
          </w:p>
        </w:tc>
        <w:tc>
          <w:tcPr>
            <w:tcW w:w="105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94BE82F">
            <w:pPr>
              <w:jc w:val="center"/>
              <w:rPr>
                <w:rFonts w:hint="eastAsia" w:ascii="宋体" w:hAnsi="宋体" w:eastAsia="宋体" w:cs="宋体"/>
                <w:i w:val="0"/>
                <w:color w:val="000000"/>
                <w:sz w:val="21"/>
                <w:szCs w:val="21"/>
                <w:u w:val="none"/>
              </w:rPr>
            </w:pPr>
          </w:p>
        </w:tc>
        <w:tc>
          <w:tcPr>
            <w:tcW w:w="15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B020169">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重点工作完成情况</w:t>
            </w:r>
          </w:p>
        </w:tc>
        <w:tc>
          <w:tcPr>
            <w:tcW w:w="9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89DD6A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w:t>
            </w:r>
          </w:p>
        </w:tc>
        <w:tc>
          <w:tcPr>
            <w:tcW w:w="295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28F2B23F">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部门（单位）完成党委、政府、人大和上级部门下达或交办的重要事项或工作的完成情况，反映部门对重点工作的办理落实程度。</w:t>
            </w:r>
          </w:p>
        </w:tc>
        <w:tc>
          <w:tcPr>
            <w:tcW w:w="466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C244B05">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重点工作是指中央和省相关部门、市委、市政府、市人大交办或下达的工作任务。全部按期保质保量完成得8分；一项重点工作没有完成扣4分，扣完为止。</w:t>
            </w:r>
          </w:p>
          <w:p w14:paraId="60979F4E">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注：重点工作完成情况可以参考市委市政府督查部门或其他权威部门的统计数据（如有）。</w:t>
            </w:r>
          </w:p>
        </w:tc>
        <w:tc>
          <w:tcPr>
            <w:tcW w:w="10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B76570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 xml:space="preserve">8.00 </w:t>
            </w:r>
          </w:p>
        </w:tc>
      </w:tr>
      <w:tr w14:paraId="7991D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Before w:val="1"/>
          <w:gridAfter w:val="1"/>
          <w:wBefore w:w="93" w:type="dxa"/>
          <w:wAfter w:w="378" w:type="dxa"/>
          <w:trHeight w:val="1020" w:hRule="atLeast"/>
        </w:trPr>
        <w:tc>
          <w:tcPr>
            <w:tcW w:w="3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1FB8718">
            <w:pPr>
              <w:jc w:val="center"/>
              <w:rPr>
                <w:rFonts w:hint="eastAsia" w:ascii="宋体" w:hAnsi="宋体" w:eastAsia="宋体" w:cs="宋体"/>
                <w:i w:val="0"/>
                <w:color w:val="000000"/>
                <w:sz w:val="21"/>
                <w:szCs w:val="21"/>
                <w:u w:val="none"/>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EA37771">
            <w:pPr>
              <w:jc w:val="center"/>
              <w:rPr>
                <w:rFonts w:hint="eastAsia" w:ascii="宋体" w:hAnsi="宋体" w:eastAsia="宋体" w:cs="宋体"/>
                <w:i w:val="0"/>
                <w:color w:val="000000"/>
                <w:sz w:val="21"/>
                <w:szCs w:val="21"/>
                <w:u w:val="none"/>
              </w:rPr>
            </w:pPr>
          </w:p>
        </w:tc>
        <w:tc>
          <w:tcPr>
            <w:tcW w:w="33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D110BDC">
            <w:pPr>
              <w:jc w:val="center"/>
              <w:rPr>
                <w:rFonts w:hint="eastAsia" w:ascii="宋体" w:hAnsi="宋体" w:eastAsia="宋体" w:cs="宋体"/>
                <w:i w:val="0"/>
                <w:color w:val="000000"/>
                <w:sz w:val="21"/>
                <w:szCs w:val="21"/>
                <w:u w:val="none"/>
              </w:rPr>
            </w:pPr>
          </w:p>
        </w:tc>
        <w:tc>
          <w:tcPr>
            <w:tcW w:w="105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FA1A473">
            <w:pPr>
              <w:jc w:val="center"/>
              <w:rPr>
                <w:rFonts w:hint="eastAsia" w:ascii="宋体" w:hAnsi="宋体" w:eastAsia="宋体" w:cs="宋体"/>
                <w:i w:val="0"/>
                <w:color w:val="000000"/>
                <w:sz w:val="21"/>
                <w:szCs w:val="21"/>
                <w:u w:val="none"/>
              </w:rPr>
            </w:pPr>
          </w:p>
        </w:tc>
        <w:tc>
          <w:tcPr>
            <w:tcW w:w="15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DE09BD5">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项目完成及时性</w:t>
            </w:r>
          </w:p>
        </w:tc>
        <w:tc>
          <w:tcPr>
            <w:tcW w:w="9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05A4E5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p>
        </w:tc>
        <w:tc>
          <w:tcPr>
            <w:tcW w:w="295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00F46C9C">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部门（单位）项目完成情况与预期时间对比的情况。</w:t>
            </w:r>
          </w:p>
        </w:tc>
        <w:tc>
          <w:tcPr>
            <w:tcW w:w="466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56ADA6D">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1.所有部门预算安排的项目均按计划时间完成（6分）；</w:t>
            </w:r>
          </w:p>
          <w:p w14:paraId="369E3817">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2.部分项目未按计划时间完成的，本指标得分=已完成项目数/计划完成项目总数×6分。</w:t>
            </w:r>
          </w:p>
        </w:tc>
        <w:tc>
          <w:tcPr>
            <w:tcW w:w="10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FBA40D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 xml:space="preserve">6.00 </w:t>
            </w:r>
          </w:p>
        </w:tc>
      </w:tr>
      <w:tr w14:paraId="6FF94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Before w:val="1"/>
          <w:gridAfter w:val="1"/>
          <w:wBefore w:w="93" w:type="dxa"/>
          <w:wAfter w:w="378" w:type="dxa"/>
          <w:trHeight w:val="1020" w:hRule="atLeast"/>
        </w:trPr>
        <w:tc>
          <w:tcPr>
            <w:tcW w:w="3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CBF58D1">
            <w:pPr>
              <w:jc w:val="center"/>
              <w:rPr>
                <w:rFonts w:hint="eastAsia" w:ascii="宋体" w:hAnsi="宋体" w:eastAsia="宋体" w:cs="宋体"/>
                <w:i w:val="0"/>
                <w:color w:val="000000"/>
                <w:sz w:val="21"/>
                <w:szCs w:val="21"/>
                <w:u w:val="none"/>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909F542">
            <w:pPr>
              <w:jc w:val="center"/>
              <w:rPr>
                <w:rFonts w:hint="eastAsia" w:ascii="宋体" w:hAnsi="宋体" w:eastAsia="宋体" w:cs="宋体"/>
                <w:i w:val="0"/>
                <w:color w:val="000000"/>
                <w:sz w:val="21"/>
                <w:szCs w:val="21"/>
                <w:u w:val="none"/>
              </w:rPr>
            </w:pPr>
          </w:p>
        </w:tc>
        <w:tc>
          <w:tcPr>
            <w:tcW w:w="3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EE9A93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效果性</w:t>
            </w:r>
          </w:p>
        </w:tc>
        <w:tc>
          <w:tcPr>
            <w:tcW w:w="10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4252B8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w:t>
            </w:r>
          </w:p>
        </w:tc>
        <w:tc>
          <w:tcPr>
            <w:tcW w:w="15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002D0E9">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社会效益、经济效益、生态效益等</w:t>
            </w:r>
          </w:p>
        </w:tc>
        <w:tc>
          <w:tcPr>
            <w:tcW w:w="9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074F53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w:t>
            </w:r>
          </w:p>
        </w:tc>
        <w:tc>
          <w:tcPr>
            <w:tcW w:w="295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461C54DD">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部门（单位）履行职责、完成各项重大政策和项目的效果，以及对经济发展、社会发展、生态环境所带来的直接或间接影响。</w:t>
            </w:r>
          </w:p>
        </w:tc>
        <w:tc>
          <w:tcPr>
            <w:tcW w:w="466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CF25E73">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根据部门（单位）职责，结合部门整体支出绩效目标，合理设置个性化绩效指标，通过绩效指标完成情况与目标值对比分析进行评分，未实现绩效目标的酌情扣分。  根据部门（部门）履职内容和性质，从社会效益、经济效益、生态效益三个方面对工作实效和效益进行评价。</w:t>
            </w:r>
          </w:p>
        </w:tc>
        <w:tc>
          <w:tcPr>
            <w:tcW w:w="10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E38CB8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 xml:space="preserve">25.00 </w:t>
            </w:r>
          </w:p>
        </w:tc>
      </w:tr>
      <w:tr w14:paraId="2192B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Before w:val="1"/>
          <w:gridAfter w:val="1"/>
          <w:wBefore w:w="93" w:type="dxa"/>
          <w:wAfter w:w="378" w:type="dxa"/>
          <w:trHeight w:val="1020" w:hRule="atLeast"/>
        </w:trPr>
        <w:tc>
          <w:tcPr>
            <w:tcW w:w="3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34CA4E6">
            <w:pPr>
              <w:jc w:val="center"/>
              <w:rPr>
                <w:rFonts w:hint="eastAsia" w:ascii="宋体" w:hAnsi="宋体" w:eastAsia="宋体" w:cs="宋体"/>
                <w:i w:val="0"/>
                <w:color w:val="000000"/>
                <w:sz w:val="21"/>
                <w:szCs w:val="21"/>
                <w:u w:val="none"/>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A1320E1">
            <w:pPr>
              <w:jc w:val="center"/>
              <w:rPr>
                <w:rFonts w:hint="eastAsia" w:ascii="宋体" w:hAnsi="宋体" w:eastAsia="宋体" w:cs="宋体"/>
                <w:i w:val="0"/>
                <w:color w:val="000000"/>
                <w:sz w:val="21"/>
                <w:szCs w:val="21"/>
                <w:u w:val="none"/>
              </w:rPr>
            </w:pPr>
          </w:p>
        </w:tc>
        <w:tc>
          <w:tcPr>
            <w:tcW w:w="333"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5EACD66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公平性</w:t>
            </w:r>
          </w:p>
        </w:tc>
        <w:tc>
          <w:tcPr>
            <w:tcW w:w="1050"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24D5B5A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w:t>
            </w:r>
          </w:p>
        </w:tc>
        <w:tc>
          <w:tcPr>
            <w:tcW w:w="15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84E5BCE">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群众信访办理情况</w:t>
            </w:r>
          </w:p>
        </w:tc>
        <w:tc>
          <w:tcPr>
            <w:tcW w:w="9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0AB2C8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295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52392A25">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部门（单位）对群众信访意见的完成情况及及时性，反映部门（单位）对服务群众的重视程度。</w:t>
            </w:r>
          </w:p>
        </w:tc>
        <w:tc>
          <w:tcPr>
            <w:tcW w:w="466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87B3819">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1.建立了便利的群众意见反映渠道和群众意见办理回复机制（1分）；</w:t>
            </w:r>
          </w:p>
          <w:p w14:paraId="33676B81">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2.当年度群众信访办理回复率达100%（1分）；</w:t>
            </w:r>
          </w:p>
          <w:p w14:paraId="478985CD">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3.当年度群众信访及时办理回复率达100%，未发生超期（1分）。</w:t>
            </w:r>
          </w:p>
        </w:tc>
        <w:tc>
          <w:tcPr>
            <w:tcW w:w="10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F63DA9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 xml:space="preserve">3.00 </w:t>
            </w:r>
          </w:p>
        </w:tc>
      </w:tr>
      <w:tr w14:paraId="10DD5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Before w:val="1"/>
          <w:gridAfter w:val="1"/>
          <w:wBefore w:w="93" w:type="dxa"/>
          <w:wAfter w:w="378" w:type="dxa"/>
          <w:trHeight w:val="1020" w:hRule="atLeast"/>
        </w:trPr>
        <w:tc>
          <w:tcPr>
            <w:tcW w:w="3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B95268E">
            <w:pPr>
              <w:jc w:val="center"/>
              <w:rPr>
                <w:rFonts w:hint="eastAsia" w:ascii="宋体" w:hAnsi="宋体" w:eastAsia="宋体" w:cs="宋体"/>
                <w:i w:val="0"/>
                <w:color w:val="000000"/>
                <w:sz w:val="21"/>
                <w:szCs w:val="21"/>
                <w:u w:val="none"/>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150FA1D">
            <w:pPr>
              <w:jc w:val="center"/>
              <w:rPr>
                <w:rFonts w:hint="eastAsia" w:ascii="宋体" w:hAnsi="宋体" w:eastAsia="宋体" w:cs="宋体"/>
                <w:i w:val="0"/>
                <w:color w:val="000000"/>
                <w:sz w:val="21"/>
                <w:szCs w:val="21"/>
                <w:u w:val="none"/>
              </w:rPr>
            </w:pPr>
          </w:p>
        </w:tc>
        <w:tc>
          <w:tcPr>
            <w:tcW w:w="33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A34F86F">
            <w:pPr>
              <w:jc w:val="center"/>
              <w:rPr>
                <w:rFonts w:hint="eastAsia" w:ascii="宋体" w:hAnsi="宋体" w:eastAsia="宋体" w:cs="宋体"/>
                <w:i w:val="0"/>
                <w:color w:val="000000"/>
                <w:sz w:val="21"/>
                <w:szCs w:val="21"/>
                <w:u w:val="none"/>
              </w:rPr>
            </w:pPr>
          </w:p>
        </w:tc>
        <w:tc>
          <w:tcPr>
            <w:tcW w:w="105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C1E7A61">
            <w:pPr>
              <w:jc w:val="center"/>
              <w:rPr>
                <w:rFonts w:hint="eastAsia" w:ascii="宋体" w:hAnsi="宋体" w:eastAsia="宋体" w:cs="宋体"/>
                <w:i w:val="0"/>
                <w:color w:val="000000"/>
                <w:sz w:val="21"/>
                <w:szCs w:val="21"/>
                <w:u w:val="none"/>
              </w:rPr>
            </w:pPr>
          </w:p>
        </w:tc>
        <w:tc>
          <w:tcPr>
            <w:tcW w:w="153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3B34EAF">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公众或服务对象满意度</w:t>
            </w:r>
          </w:p>
        </w:tc>
        <w:tc>
          <w:tcPr>
            <w:tcW w:w="9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FE375E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p>
        </w:tc>
        <w:tc>
          <w:tcPr>
            <w:tcW w:w="295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3B9341D8">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反映社会公众或部门（单位）的服务对象对部门履职效果的满意度。</w:t>
            </w:r>
          </w:p>
        </w:tc>
        <w:tc>
          <w:tcPr>
            <w:tcW w:w="466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FB31950">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社会公众或服务对象是指部门（单位）履行职责而影响到的部门、群体或个人，一般采取社会调查的方式。如难以单独开展满意度调查的，可参考市统计部门的数据、年度市直民主评议政风行风评价结果等数据，或者参考群众信访反馈的普遍性问题、本部门或权威第三方机构的开展满意度调查等进行分档计分。</w:t>
            </w:r>
          </w:p>
          <w:p w14:paraId="2B8236B9">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1.满意度≥95%的，得6分；</w:t>
            </w:r>
          </w:p>
          <w:p w14:paraId="462DA504">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2. 90%≤满意度＜95%的，得4分；</w:t>
            </w:r>
          </w:p>
          <w:p w14:paraId="2F3C7DEE">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3. 80%≤满意度＜90%的，得2分；</w:t>
            </w:r>
          </w:p>
          <w:p w14:paraId="47821B9A">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  4. 满意度＜80%的，得1分。</w:t>
            </w:r>
          </w:p>
        </w:tc>
        <w:tc>
          <w:tcPr>
            <w:tcW w:w="10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E73B99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 xml:space="preserve">6.00 </w:t>
            </w:r>
          </w:p>
        </w:tc>
      </w:tr>
      <w:tr w14:paraId="598D2A0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108" w:type="dxa"/>
            <w:bottom w:w="0" w:type="dxa"/>
            <w:right w:w="108" w:type="dxa"/>
          </w:tblCellMar>
        </w:tblPrEx>
        <w:trPr>
          <w:trHeight w:val="441" w:hRule="atLeast"/>
        </w:trPr>
        <w:tc>
          <w:tcPr>
            <w:tcW w:w="7085"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11331B2A">
            <w:pPr>
              <w:widowControl/>
              <w:spacing w:line="320" w:lineRule="exact"/>
              <w:jc w:val="center"/>
              <w:rPr>
                <w:rFonts w:ascii="宋体" w:hAnsi="宋体" w:cs="宋体"/>
                <w:kern w:val="0"/>
              </w:rPr>
            </w:pPr>
            <w:r>
              <w:rPr>
                <w:rFonts w:hint="eastAsia" w:ascii="宋体" w:hAnsi="宋体" w:cs="宋体"/>
                <w:kern w:val="0"/>
              </w:rPr>
              <w:t>综合评分</w:t>
            </w:r>
          </w:p>
        </w:tc>
        <w:tc>
          <w:tcPr>
            <w:tcW w:w="7374" w:type="dxa"/>
            <w:gridSpan w:val="4"/>
            <w:tcBorders>
              <w:top w:val="single" w:color="auto" w:sz="4" w:space="0"/>
              <w:left w:val="nil"/>
              <w:bottom w:val="single" w:color="auto" w:sz="4" w:space="0"/>
              <w:right w:val="single" w:color="auto" w:sz="4" w:space="0"/>
            </w:tcBorders>
            <w:shd w:val="clear" w:color="auto" w:fill="auto"/>
            <w:vAlign w:val="center"/>
          </w:tcPr>
          <w:p w14:paraId="3EA54586">
            <w:pPr>
              <w:widowControl/>
              <w:spacing w:line="320" w:lineRule="exact"/>
              <w:ind w:firstLine="420"/>
              <w:jc w:val="center"/>
              <w:rPr>
                <w:rFonts w:hint="default" w:ascii="宋体" w:hAnsi="宋体" w:eastAsia="宋体" w:cs="宋体"/>
                <w:kern w:val="0"/>
                <w:lang w:val="en-US" w:eastAsia="zh-CN"/>
              </w:rPr>
            </w:pPr>
            <w:r>
              <w:rPr>
                <w:rFonts w:hint="eastAsia" w:ascii="宋体" w:hAnsi="宋体" w:cs="宋体"/>
                <w:kern w:val="0"/>
                <w:lang w:val="en-US" w:eastAsia="zh-CN"/>
              </w:rPr>
              <w:t>97.96</w:t>
            </w:r>
          </w:p>
        </w:tc>
      </w:tr>
      <w:tr w14:paraId="137B2C2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108" w:type="dxa"/>
            <w:bottom w:w="0" w:type="dxa"/>
            <w:right w:w="108" w:type="dxa"/>
          </w:tblCellMar>
        </w:tblPrEx>
        <w:trPr>
          <w:trHeight w:val="441" w:hRule="atLeast"/>
        </w:trPr>
        <w:tc>
          <w:tcPr>
            <w:tcW w:w="7085"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323C9C9D">
            <w:pPr>
              <w:widowControl/>
              <w:spacing w:line="320" w:lineRule="exact"/>
              <w:jc w:val="center"/>
              <w:rPr>
                <w:rFonts w:ascii="宋体" w:hAnsi="宋体" w:cs="宋体"/>
                <w:kern w:val="0"/>
              </w:rPr>
            </w:pPr>
            <w:r>
              <w:rPr>
                <w:rFonts w:hint="eastAsia" w:ascii="宋体" w:hAnsi="宋体" w:cs="宋体"/>
                <w:kern w:val="0"/>
              </w:rPr>
              <w:t>评分等级</w:t>
            </w:r>
          </w:p>
        </w:tc>
        <w:tc>
          <w:tcPr>
            <w:tcW w:w="7374" w:type="dxa"/>
            <w:gridSpan w:val="4"/>
            <w:tcBorders>
              <w:top w:val="single" w:color="auto" w:sz="4" w:space="0"/>
              <w:left w:val="nil"/>
              <w:bottom w:val="single" w:color="auto" w:sz="4" w:space="0"/>
              <w:right w:val="single" w:color="auto" w:sz="4" w:space="0"/>
            </w:tcBorders>
            <w:shd w:val="clear" w:color="auto" w:fill="auto"/>
            <w:vAlign w:val="center"/>
          </w:tcPr>
          <w:p w14:paraId="4D588724">
            <w:pPr>
              <w:widowControl/>
              <w:spacing w:line="320" w:lineRule="exact"/>
              <w:ind w:firstLine="420"/>
              <w:jc w:val="center"/>
              <w:rPr>
                <w:rFonts w:hint="eastAsia" w:ascii="宋体" w:hAnsi="宋体" w:eastAsia="宋体" w:cs="宋体"/>
                <w:kern w:val="0"/>
                <w:lang w:val="en-US" w:eastAsia="zh-CN"/>
              </w:rPr>
            </w:pPr>
            <w:r>
              <w:rPr>
                <w:rFonts w:hint="eastAsia" w:ascii="宋体" w:hAnsi="宋体" w:cs="宋体"/>
                <w:kern w:val="0"/>
                <w:lang w:val="en-US" w:eastAsia="zh-CN"/>
              </w:rPr>
              <w:t>优</w:t>
            </w:r>
          </w:p>
        </w:tc>
      </w:tr>
      <w:tr w14:paraId="2276AC9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41" w:hRule="atLeast"/>
        </w:trPr>
        <w:tc>
          <w:tcPr>
            <w:tcW w:w="7085"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0FCAF899">
            <w:pPr>
              <w:widowControl/>
              <w:spacing w:line="320" w:lineRule="exact"/>
              <w:jc w:val="center"/>
              <w:rPr>
                <w:rFonts w:ascii="宋体" w:hAnsi="宋体" w:cs="宋体"/>
                <w:kern w:val="0"/>
              </w:rPr>
            </w:pPr>
            <w:r>
              <w:rPr>
                <w:rFonts w:hint="eastAsia" w:ascii="宋体" w:hAnsi="宋体" w:cs="宋体"/>
                <w:kern w:val="0"/>
              </w:rPr>
              <w:t>填表人</w:t>
            </w:r>
          </w:p>
        </w:tc>
        <w:tc>
          <w:tcPr>
            <w:tcW w:w="7374" w:type="dxa"/>
            <w:gridSpan w:val="4"/>
            <w:tcBorders>
              <w:top w:val="single" w:color="auto" w:sz="4" w:space="0"/>
              <w:left w:val="nil"/>
              <w:bottom w:val="single" w:color="auto" w:sz="4" w:space="0"/>
              <w:right w:val="single" w:color="auto" w:sz="4" w:space="0"/>
            </w:tcBorders>
            <w:shd w:val="clear" w:color="auto" w:fill="auto"/>
            <w:vAlign w:val="center"/>
          </w:tcPr>
          <w:p w14:paraId="76F2001C">
            <w:pPr>
              <w:widowControl/>
              <w:spacing w:line="320" w:lineRule="exact"/>
              <w:ind w:firstLine="420"/>
              <w:jc w:val="center"/>
              <w:rPr>
                <w:rFonts w:hint="eastAsia" w:ascii="宋体" w:hAnsi="宋体" w:eastAsia="宋体" w:cs="宋体"/>
                <w:kern w:val="0"/>
                <w:lang w:val="en-US" w:eastAsia="zh-CN"/>
              </w:rPr>
            </w:pPr>
            <w:r>
              <w:rPr>
                <w:rFonts w:hint="eastAsia" w:ascii="宋体" w:hAnsi="宋体" w:cs="宋体"/>
                <w:kern w:val="0"/>
                <w:lang w:val="en-US" w:eastAsia="zh-CN"/>
              </w:rPr>
              <w:t>侯艳平</w:t>
            </w:r>
          </w:p>
        </w:tc>
      </w:tr>
    </w:tbl>
    <w:p w14:paraId="36C7D817">
      <w:pPr>
        <w:tabs>
          <w:tab w:val="center" w:pos="6979"/>
        </w:tabs>
        <w:spacing w:line="620" w:lineRule="exact"/>
        <w:jc w:val="both"/>
        <w:rPr>
          <w:rFonts w:hint="eastAsia" w:ascii="方正小标宋简体" w:eastAsia="方正小标宋简体" w:cs="方正小标宋简体"/>
          <w:sz w:val="30"/>
          <w:szCs w:val="30"/>
        </w:rPr>
      </w:pPr>
    </w:p>
    <w:p w14:paraId="36EB3125">
      <w:pPr>
        <w:spacing w:line="320" w:lineRule="exact"/>
      </w:pPr>
      <w:r>
        <w:rPr>
          <w:rFonts w:hint="eastAsia"/>
        </w:rPr>
        <w:t>附注：1.《部门整体支出绩效评价共性指标体系框架》的适用对象是部门和单位；</w:t>
      </w:r>
    </w:p>
    <w:p w14:paraId="2B1E36BC">
      <w:pPr>
        <w:spacing w:line="320" w:lineRule="exact"/>
      </w:pPr>
      <w:r>
        <w:rPr>
          <w:rFonts w:hint="eastAsia"/>
        </w:rPr>
        <w:t xml:space="preserve">      2.各项指标的分值是参考分值，各部门各单位在开展绩效评价时可结合不同评价对象的特点，赋予评价指标科学合理的权重分值，明确具体的评分标准。</w:t>
      </w:r>
    </w:p>
    <w:p w14:paraId="20F69497">
      <w:pPr>
        <w:rPr>
          <w:sz w:val="18"/>
          <w:szCs w:val="18"/>
        </w:rPr>
      </w:pPr>
    </w:p>
    <w:sectPr>
      <w:footerReference r:id="rId4" w:type="default"/>
      <w:pgSz w:w="16838" w:h="11906" w:orient="landscape"/>
      <w:pgMar w:top="1797" w:right="1440" w:bottom="1797" w:left="1440" w:header="851" w:footer="992" w:gutter="0"/>
      <w:pgNumType w:fmt="numberInDash"/>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BB65833-A586-4198-9036-F55416CB0F2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embedRegular r:id="rId2" w:fontKey="{19EF700E-0FE8-4089-8A02-B48723A97A7F}"/>
  </w:font>
  <w:font w:name="Adobe 楷体 Std R">
    <w:altName w:val="宋体"/>
    <w:panose1 w:val="00000000000000000000"/>
    <w:charset w:val="86"/>
    <w:family w:val="roman"/>
    <w:pitch w:val="default"/>
    <w:sig w:usb0="00000000" w:usb1="00000000" w:usb2="00000010" w:usb3="00000000" w:csb0="00060007" w:csb1="00000000"/>
    <w:embedRegular r:id="rId3" w:fontKey="{B88904DE-1276-4914-AF38-57DC2868855E}"/>
  </w:font>
  <w:font w:name="楷体_GB2312">
    <w:altName w:val="楷体"/>
    <w:panose1 w:val="02010609030101010101"/>
    <w:charset w:val="86"/>
    <w:family w:val="modern"/>
    <w:pitch w:val="default"/>
    <w:sig w:usb0="00000000" w:usb1="00000000" w:usb2="00000010" w:usb3="00000000" w:csb0="00040000" w:csb1="00000000"/>
    <w:embedRegular r:id="rId4" w:fontKey="{11CCE920-87C8-4A7D-A907-B2E15FB84115}"/>
  </w:font>
  <w:font w:name="楷体">
    <w:panose1 w:val="02010609060101010101"/>
    <w:charset w:val="86"/>
    <w:family w:val="auto"/>
    <w:pitch w:val="default"/>
    <w:sig w:usb0="800002BF" w:usb1="38CF7CFA" w:usb2="00000016" w:usb3="00000000" w:csb0="00040001" w:csb1="00000000"/>
    <w:embedRegular r:id="rId5" w:fontKey="{6F53B95E-6252-4677-9E27-32ED84FFB1A5}"/>
  </w:font>
  <w:font w:name="等线">
    <w:panose1 w:val="02010600030101010101"/>
    <w:charset w:val="86"/>
    <w:family w:val="auto"/>
    <w:pitch w:val="default"/>
    <w:sig w:usb0="A00002BF" w:usb1="38CF7CFA" w:usb2="00000016" w:usb3="00000000" w:csb0="0004000F" w:csb1="00000000"/>
    <w:embedRegular r:id="rId6" w:fontKey="{1D946E77-EF27-48A6-AD11-F8F66418A4DE}"/>
  </w:font>
  <w:font w:name="方正小标宋简体">
    <w:panose1 w:val="02000000000000000000"/>
    <w:charset w:val="86"/>
    <w:family w:val="script"/>
    <w:pitch w:val="default"/>
    <w:sig w:usb0="00000001" w:usb1="08000000" w:usb2="00000000" w:usb3="00000000" w:csb0="00040000" w:csb1="00000000"/>
    <w:embedRegular r:id="rId7" w:fontKey="{A85F91AD-2B47-4C4D-80D8-0DBBEFAE3CAC}"/>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5CAA9">
    <w:pPr>
      <w:pStyle w:val="3"/>
      <w:framePr w:wrap="around" w:vAnchor="text" w:hAnchor="margin" w:xAlign="outside" w:y="1"/>
      <w:rPr>
        <w:rStyle w:val="8"/>
        <w:rFonts w:ascii="宋体" w:hAnsi="宋体"/>
        <w:sz w:val="28"/>
        <w:szCs w:val="28"/>
      </w:rPr>
    </w:pPr>
    <w:r>
      <w:rPr>
        <w:rStyle w:val="8"/>
        <w:rFonts w:ascii="宋体" w:hAnsi="宋体"/>
        <w:sz w:val="28"/>
        <w:szCs w:val="28"/>
      </w:rPr>
      <w:fldChar w:fldCharType="begin"/>
    </w:r>
    <w:r>
      <w:rPr>
        <w:rStyle w:val="8"/>
        <w:rFonts w:ascii="宋体" w:hAnsi="宋体"/>
        <w:sz w:val="28"/>
        <w:szCs w:val="28"/>
      </w:rPr>
      <w:instrText xml:space="preserve">PAGE  </w:instrText>
    </w:r>
    <w:r>
      <w:rPr>
        <w:rStyle w:val="8"/>
        <w:rFonts w:ascii="宋体" w:hAnsi="宋体"/>
        <w:sz w:val="28"/>
        <w:szCs w:val="28"/>
      </w:rPr>
      <w:fldChar w:fldCharType="separate"/>
    </w:r>
    <w:r>
      <w:rPr>
        <w:rStyle w:val="8"/>
        <w:rFonts w:ascii="宋体" w:hAnsi="宋体"/>
        <w:sz w:val="28"/>
        <w:szCs w:val="28"/>
      </w:rPr>
      <w:t>- 17 -</w:t>
    </w:r>
    <w:r>
      <w:rPr>
        <w:rStyle w:val="8"/>
        <w:rFonts w:ascii="宋体" w:hAnsi="宋体"/>
        <w:sz w:val="28"/>
        <w:szCs w:val="28"/>
      </w:rPr>
      <w:fldChar w:fldCharType="end"/>
    </w:r>
  </w:p>
  <w:p w14:paraId="4FCB44A4">
    <w:pPr>
      <w:pStyle w:val="3"/>
      <w:ind w:right="360" w:firstLine="360"/>
      <w:jc w:val="center"/>
    </w:pPr>
  </w:p>
  <w:p w14:paraId="0EF239C9">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96D75">
    <w:pPr>
      <w:pStyle w:val="3"/>
      <w:framePr w:wrap="around" w:vAnchor="text" w:hAnchor="margin" w:xAlign="outside" w:y="1"/>
      <w:rPr>
        <w:rStyle w:val="8"/>
        <w:rFonts w:ascii="宋体" w:hAnsi="宋体"/>
        <w:sz w:val="28"/>
        <w:szCs w:val="28"/>
      </w:rPr>
    </w:pPr>
    <w:r>
      <w:rPr>
        <w:rStyle w:val="8"/>
        <w:rFonts w:ascii="宋体" w:hAnsi="宋体"/>
        <w:sz w:val="28"/>
        <w:szCs w:val="28"/>
      </w:rPr>
      <w:fldChar w:fldCharType="begin"/>
    </w:r>
    <w:r>
      <w:rPr>
        <w:rStyle w:val="8"/>
        <w:rFonts w:ascii="宋体" w:hAnsi="宋体"/>
        <w:sz w:val="28"/>
        <w:szCs w:val="28"/>
      </w:rPr>
      <w:instrText xml:space="preserve">PAGE  </w:instrText>
    </w:r>
    <w:r>
      <w:rPr>
        <w:rStyle w:val="8"/>
        <w:rFonts w:ascii="宋体" w:hAnsi="宋体"/>
        <w:sz w:val="28"/>
        <w:szCs w:val="28"/>
      </w:rPr>
      <w:fldChar w:fldCharType="separate"/>
    </w:r>
    <w:r>
      <w:rPr>
        <w:rStyle w:val="8"/>
        <w:rFonts w:ascii="宋体" w:hAnsi="宋体"/>
        <w:sz w:val="28"/>
        <w:szCs w:val="28"/>
      </w:rPr>
      <w:t>- 17 -</w:t>
    </w:r>
    <w:r>
      <w:rPr>
        <w:rStyle w:val="8"/>
        <w:rFonts w:ascii="宋体" w:hAnsi="宋体"/>
        <w:sz w:val="28"/>
        <w:szCs w:val="28"/>
      </w:rPr>
      <w:fldChar w:fldCharType="end"/>
    </w:r>
  </w:p>
  <w:p w14:paraId="23BFBDE2">
    <w:pPr>
      <w:pStyle w:val="3"/>
      <w:ind w:right="360" w:firstLine="360"/>
      <w:jc w:val="center"/>
    </w:pPr>
  </w:p>
  <w:p w14:paraId="398C94AA">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E8780F"/>
    <w:multiLevelType w:val="singleLevel"/>
    <w:tmpl w:val="E7E8780F"/>
    <w:lvl w:ilvl="0" w:tentative="0">
      <w:start w:val="1"/>
      <w:numFmt w:val="chineseCounting"/>
      <w:suff w:val="nothing"/>
      <w:lvlText w:val="（%1）"/>
      <w:lvlJc w:val="left"/>
      <w:pPr>
        <w:ind w:left="0" w:firstLine="420"/>
      </w:pPr>
      <w:rPr>
        <w:rFonts w:hint="eastAsia"/>
        <w:b/>
      </w:rPr>
    </w:lvl>
  </w:abstractNum>
  <w:abstractNum w:abstractNumId="1">
    <w:nsid w:val="196D1E66"/>
    <w:multiLevelType w:val="singleLevel"/>
    <w:tmpl w:val="196D1E66"/>
    <w:lvl w:ilvl="0" w:tentative="0">
      <w:start w:val="1"/>
      <w:numFmt w:val="chineseCounting"/>
      <w:suff w:val="nothing"/>
      <w:lvlText w:val="（%1）"/>
      <w:lvlJc w:val="left"/>
      <w:pPr>
        <w:ind w:left="0" w:firstLine="420"/>
      </w:pPr>
      <w:rPr>
        <w:rFonts w:hint="eastAsia"/>
      </w:rPr>
    </w:lvl>
  </w:abstractNum>
  <w:abstractNum w:abstractNumId="2">
    <w:nsid w:val="3A4DB9CE"/>
    <w:multiLevelType w:val="singleLevel"/>
    <w:tmpl w:val="3A4DB9CE"/>
    <w:lvl w:ilvl="0" w:tentative="0">
      <w:start w:val="1"/>
      <w:numFmt w:val="chineseCounting"/>
      <w:suff w:val="nothing"/>
      <w:lvlText w:val="（%1）"/>
      <w:lvlJc w:val="left"/>
      <w:pPr>
        <w:ind w:left="0" w:firstLine="420"/>
      </w:pPr>
      <w:rPr>
        <w:rFonts w:hint="eastAsia"/>
        <w:b/>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ljNjA3NWY3M2YxZjhkYzdiODliY2Y3NGNhYjNhMGUifQ=="/>
  </w:docVars>
  <w:rsids>
    <w:rsidRoot w:val="00172A27"/>
    <w:rsid w:val="00015287"/>
    <w:rsid w:val="00072FB0"/>
    <w:rsid w:val="000757DF"/>
    <w:rsid w:val="000C1693"/>
    <w:rsid w:val="000C7F39"/>
    <w:rsid w:val="000D5ECC"/>
    <w:rsid w:val="00156F7B"/>
    <w:rsid w:val="00186083"/>
    <w:rsid w:val="001A4FCA"/>
    <w:rsid w:val="001E1A5E"/>
    <w:rsid w:val="001E702E"/>
    <w:rsid w:val="001F5AA4"/>
    <w:rsid w:val="00235966"/>
    <w:rsid w:val="002A7700"/>
    <w:rsid w:val="002E0FBC"/>
    <w:rsid w:val="00323B8D"/>
    <w:rsid w:val="0035757F"/>
    <w:rsid w:val="003577C2"/>
    <w:rsid w:val="00382649"/>
    <w:rsid w:val="00394B68"/>
    <w:rsid w:val="003B1900"/>
    <w:rsid w:val="003D5362"/>
    <w:rsid w:val="003F3BCB"/>
    <w:rsid w:val="00447BDD"/>
    <w:rsid w:val="004A3245"/>
    <w:rsid w:val="004B47F6"/>
    <w:rsid w:val="00510750"/>
    <w:rsid w:val="005530FC"/>
    <w:rsid w:val="00567EEA"/>
    <w:rsid w:val="0058344B"/>
    <w:rsid w:val="005A7B7C"/>
    <w:rsid w:val="005C793D"/>
    <w:rsid w:val="005D6FD8"/>
    <w:rsid w:val="006668F7"/>
    <w:rsid w:val="00670E00"/>
    <w:rsid w:val="006A08E5"/>
    <w:rsid w:val="006A0B18"/>
    <w:rsid w:val="006E2C6E"/>
    <w:rsid w:val="006F0724"/>
    <w:rsid w:val="007B1093"/>
    <w:rsid w:val="007C0C35"/>
    <w:rsid w:val="007C6A8D"/>
    <w:rsid w:val="007C77C0"/>
    <w:rsid w:val="007E03B1"/>
    <w:rsid w:val="007E16C0"/>
    <w:rsid w:val="007F11FC"/>
    <w:rsid w:val="0085384E"/>
    <w:rsid w:val="00866D4F"/>
    <w:rsid w:val="00886EBB"/>
    <w:rsid w:val="008C01DD"/>
    <w:rsid w:val="008C5E9F"/>
    <w:rsid w:val="008D3C34"/>
    <w:rsid w:val="00907B9F"/>
    <w:rsid w:val="009254A3"/>
    <w:rsid w:val="009374E9"/>
    <w:rsid w:val="0094704A"/>
    <w:rsid w:val="009803FA"/>
    <w:rsid w:val="009B6BB4"/>
    <w:rsid w:val="00A327AA"/>
    <w:rsid w:val="00AA5338"/>
    <w:rsid w:val="00AC140F"/>
    <w:rsid w:val="00AD4C3B"/>
    <w:rsid w:val="00AD7537"/>
    <w:rsid w:val="00AE1C2F"/>
    <w:rsid w:val="00AF093E"/>
    <w:rsid w:val="00B012E2"/>
    <w:rsid w:val="00B16374"/>
    <w:rsid w:val="00B9050E"/>
    <w:rsid w:val="00BB7A05"/>
    <w:rsid w:val="00BD192D"/>
    <w:rsid w:val="00C2157C"/>
    <w:rsid w:val="00C409C6"/>
    <w:rsid w:val="00C702B8"/>
    <w:rsid w:val="00CB6C81"/>
    <w:rsid w:val="00CB7FE9"/>
    <w:rsid w:val="00CC0E1B"/>
    <w:rsid w:val="00CC7C71"/>
    <w:rsid w:val="00CD69A4"/>
    <w:rsid w:val="00CE0B57"/>
    <w:rsid w:val="00D50E3A"/>
    <w:rsid w:val="00D86FE6"/>
    <w:rsid w:val="00DC002F"/>
    <w:rsid w:val="00DD1293"/>
    <w:rsid w:val="00E61598"/>
    <w:rsid w:val="00E975EF"/>
    <w:rsid w:val="00ED590D"/>
    <w:rsid w:val="00F05CC5"/>
    <w:rsid w:val="00F85BCF"/>
    <w:rsid w:val="00FA665A"/>
    <w:rsid w:val="025E172F"/>
    <w:rsid w:val="0B5A0540"/>
    <w:rsid w:val="0D361EA3"/>
    <w:rsid w:val="0DAD1D0D"/>
    <w:rsid w:val="0E5431E3"/>
    <w:rsid w:val="0F074DED"/>
    <w:rsid w:val="151C2F00"/>
    <w:rsid w:val="156902B8"/>
    <w:rsid w:val="174025B9"/>
    <w:rsid w:val="17FC7E15"/>
    <w:rsid w:val="19C3245D"/>
    <w:rsid w:val="2303614B"/>
    <w:rsid w:val="241203DA"/>
    <w:rsid w:val="241D0A0A"/>
    <w:rsid w:val="27AD03A5"/>
    <w:rsid w:val="29C56527"/>
    <w:rsid w:val="2C797FDD"/>
    <w:rsid w:val="32A32ADD"/>
    <w:rsid w:val="37C42B71"/>
    <w:rsid w:val="390B70FC"/>
    <w:rsid w:val="39CB1D53"/>
    <w:rsid w:val="3D270F5B"/>
    <w:rsid w:val="468723DA"/>
    <w:rsid w:val="483D3166"/>
    <w:rsid w:val="4B4A4A52"/>
    <w:rsid w:val="4DF933A6"/>
    <w:rsid w:val="4E9C316B"/>
    <w:rsid w:val="50C6356D"/>
    <w:rsid w:val="50FC598F"/>
    <w:rsid w:val="5294553A"/>
    <w:rsid w:val="5A3367C7"/>
    <w:rsid w:val="64F84CFF"/>
    <w:rsid w:val="66420C45"/>
    <w:rsid w:val="66FA5100"/>
    <w:rsid w:val="749776B4"/>
    <w:rsid w:val="75757490"/>
    <w:rsid w:val="78BF7452"/>
    <w:rsid w:val="7AE709C5"/>
    <w:rsid w:val="7C0B7439"/>
    <w:rsid w:val="7D406316"/>
    <w:rsid w:val="7EC062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8">
    <w:name w:val="page number"/>
    <w:basedOn w:val="7"/>
    <w:qFormat/>
    <w:uiPriority w:val="0"/>
  </w:style>
  <w:style w:type="character" w:customStyle="1" w:styleId="9">
    <w:name w:val="批注框文本 字符"/>
    <w:basedOn w:val="7"/>
    <w:link w:val="2"/>
    <w:semiHidden/>
    <w:qFormat/>
    <w:uiPriority w:val="99"/>
    <w:rPr>
      <w:rFonts w:ascii="Times New Roman" w:hAnsi="Times New Roman" w:eastAsia="宋体" w:cs="Times New Roman"/>
      <w:sz w:val="18"/>
      <w:szCs w:val="18"/>
    </w:rPr>
  </w:style>
  <w:style w:type="character" w:customStyle="1" w:styleId="10">
    <w:name w:val="页眉 字符"/>
    <w:basedOn w:val="7"/>
    <w:link w:val="4"/>
    <w:semiHidden/>
    <w:qFormat/>
    <w:uiPriority w:val="99"/>
    <w:rPr>
      <w:rFonts w:ascii="Times New Roman" w:hAnsi="Times New Roman" w:eastAsia="宋体" w:cs="Times New Roman"/>
      <w:sz w:val="18"/>
      <w:szCs w:val="18"/>
    </w:rPr>
  </w:style>
  <w:style w:type="character" w:customStyle="1" w:styleId="11">
    <w:name w:val="页脚 字符"/>
    <w:basedOn w:val="7"/>
    <w:link w:val="3"/>
    <w:semiHidden/>
    <w:qFormat/>
    <w:uiPriority w:val="99"/>
    <w:rPr>
      <w:rFonts w:ascii="Times New Roman" w:hAnsi="Times New Roman" w:eastAsia="宋体" w:cs="Times New Roman"/>
      <w:sz w:val="18"/>
      <w:szCs w:val="18"/>
    </w:rPr>
  </w:style>
  <w:style w:type="character" w:customStyle="1" w:styleId="12">
    <w:name w:val="font41"/>
    <w:basedOn w:val="7"/>
    <w:qFormat/>
    <w:uiPriority w:val="0"/>
    <w:rPr>
      <w:rFonts w:hint="eastAsia" w:ascii="宋体" w:hAnsi="宋体" w:eastAsia="宋体" w:cs="宋体"/>
      <w:b/>
      <w:color w:val="FF0000"/>
      <w:sz w:val="22"/>
      <w:szCs w:val="22"/>
      <w:u w:val="none"/>
    </w:rPr>
  </w:style>
  <w:style w:type="character" w:customStyle="1" w:styleId="13">
    <w:name w:val="font61"/>
    <w:basedOn w:val="7"/>
    <w:qFormat/>
    <w:uiPriority w:val="0"/>
    <w:rPr>
      <w:rFonts w:hint="eastAsia" w:ascii="宋体" w:hAnsi="宋体" w:eastAsia="宋体" w:cs="宋体"/>
      <w:b/>
      <w:color w:val="000000"/>
      <w:sz w:val="22"/>
      <w:szCs w:val="22"/>
      <w:u w:val="none"/>
    </w:rPr>
  </w:style>
  <w:style w:type="character" w:customStyle="1" w:styleId="14">
    <w:name w:val="font21"/>
    <w:basedOn w:val="7"/>
    <w:qFormat/>
    <w:uiPriority w:val="0"/>
    <w:rPr>
      <w:rFonts w:hint="eastAsia" w:ascii="宋体" w:hAnsi="宋体" w:eastAsia="宋体" w:cs="宋体"/>
      <w:b/>
      <w:color w:val="000000"/>
      <w:sz w:val="22"/>
      <w:szCs w:val="22"/>
      <w:u w:val="none"/>
    </w:rPr>
  </w:style>
  <w:style w:type="character" w:customStyle="1" w:styleId="15">
    <w:name w:val="font31"/>
    <w:basedOn w:val="7"/>
    <w:qFormat/>
    <w:uiPriority w:val="0"/>
    <w:rPr>
      <w:rFonts w:hint="eastAsia" w:ascii="宋体" w:hAnsi="宋体" w:eastAsia="宋体" w:cs="宋体"/>
      <w:b/>
      <w:color w:val="000000"/>
      <w:sz w:val="22"/>
      <w:szCs w:val="22"/>
      <w:u w:val="none"/>
    </w:rPr>
  </w:style>
</w:styles>
</file>

<file path=word/_rels/document.xml.rels><?xml version="1.0" encoding="UTF-8" standalone="yes"?>
<Relationships xmlns="http://schemas.openxmlformats.org/package/2006/relationships"><Relationship Id="rId8" Type="http://schemas.microsoft.com/office/2011/relationships/people" Target="people.xml"/><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38</Pages>
  <Words>19697</Words>
  <Characters>20349</Characters>
  <Lines>43</Lines>
  <Paragraphs>12</Paragraphs>
  <TotalTime>3</TotalTime>
  <ScaleCrop>false</ScaleCrop>
  <LinksUpToDate>false</LinksUpToDate>
  <CharactersWithSpaces>20448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2021-12-30T06:26:00Z</dcterms:created>
  <dc:creator>桂鑫</dc:creator>
  <cp:lastModifiedBy>Old wolf</cp:lastModifiedBy>
  <dcterms:modified xsi:type="dcterms:W3CDTF">2024-10-18T01:01:37Z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9B818C10AB6D44128DD948B64C4449E7_13</vt:lpwstr>
  </property>
</Properties>
</file>